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9450B">
      <w:pPr>
        <w:pStyle w:val="3"/>
        <w:spacing w:before="0" w:beforeAutospacing="0" w:after="0" w:afterAutospacing="0" w:line="360" w:lineRule="auto"/>
        <w:jc w:val="both"/>
        <w:rPr>
          <w:b/>
          <w:bCs/>
          <w:color w:val="000000"/>
          <w:sz w:val="32"/>
          <w:szCs w:val="32"/>
          <w:shd w:val="clear" w:color="auto" w:fill="FFFFFF"/>
        </w:rPr>
      </w:pPr>
      <w:r>
        <w:rPr>
          <w:rFonts w:hint="eastAsia"/>
          <w:b/>
          <w:bCs/>
          <w:color w:val="000000"/>
          <w:sz w:val="32"/>
          <w:szCs w:val="32"/>
          <w:shd w:val="clear" w:color="auto" w:fill="FFFFFF"/>
          <w:lang w:val="en-US" w:eastAsia="zh-CN"/>
        </w:rPr>
        <w:t>医疗专用无线网络</w:t>
      </w:r>
      <w:r>
        <w:rPr>
          <w:rFonts w:hint="eastAsia"/>
          <w:b/>
          <w:bCs/>
          <w:color w:val="000000"/>
          <w:sz w:val="32"/>
          <w:szCs w:val="32"/>
          <w:shd w:val="clear" w:color="auto" w:fill="FFFFFF"/>
        </w:rPr>
        <w:t>维保服务</w:t>
      </w:r>
    </w:p>
    <w:p w14:paraId="456408EB">
      <w:pPr>
        <w:pStyle w:val="3"/>
        <w:spacing w:before="0" w:beforeAutospacing="0" w:after="0" w:afterAutospacing="0" w:line="360" w:lineRule="auto"/>
        <w:rPr>
          <w:rFonts w:ascii="微软雅黑" w:hAnsi="微软雅黑" w:eastAsia="微软雅黑" w:cs="微软雅黑"/>
          <w:color w:val="000000"/>
          <w:sz w:val="27"/>
          <w:szCs w:val="27"/>
        </w:rPr>
      </w:pPr>
      <w:r>
        <w:rPr>
          <w:rStyle w:val="6"/>
          <w:rFonts w:hint="eastAsia"/>
          <w:color w:val="000000"/>
          <w:shd w:val="clear" w:color="auto" w:fill="FFFFFF"/>
          <w:lang w:val="en-US" w:eastAsia="zh-CN"/>
        </w:rPr>
        <w:t>（一）</w:t>
      </w:r>
      <w:r>
        <w:rPr>
          <w:rStyle w:val="6"/>
          <w:rFonts w:hint="eastAsia"/>
          <w:color w:val="000000"/>
          <w:shd w:val="clear" w:color="auto" w:fill="FFFFFF"/>
        </w:rPr>
        <w:t>服务期限</w:t>
      </w:r>
    </w:p>
    <w:p w14:paraId="29B707F9">
      <w:pPr>
        <w:pStyle w:val="3"/>
        <w:spacing w:before="0" w:beforeAutospacing="0" w:after="0" w:afterAutospacing="0" w:line="360" w:lineRule="auto"/>
        <w:ind w:firstLine="480"/>
        <w:rPr>
          <w:rFonts w:ascii="微软雅黑" w:hAnsi="微软雅黑" w:eastAsia="微软雅黑" w:cs="微软雅黑"/>
          <w:color w:val="000000"/>
          <w:sz w:val="27"/>
          <w:szCs w:val="27"/>
        </w:rPr>
      </w:pPr>
      <w:r>
        <w:rPr>
          <w:rFonts w:hint="eastAsia"/>
          <w:color w:val="000000"/>
          <w:shd w:val="clear" w:color="auto" w:fill="FFFFFF"/>
        </w:rPr>
        <w:t>服务期限：一年。</w:t>
      </w:r>
    </w:p>
    <w:p w14:paraId="12AE01C1">
      <w:pPr>
        <w:pStyle w:val="3"/>
        <w:spacing w:before="0" w:beforeAutospacing="0" w:after="0" w:afterAutospacing="0" w:line="360" w:lineRule="auto"/>
        <w:rPr>
          <w:rStyle w:val="6"/>
          <w:color w:val="000000"/>
          <w:shd w:val="clear" w:color="auto" w:fill="FFFFFF"/>
        </w:rPr>
      </w:pPr>
      <w:r>
        <w:rPr>
          <w:rStyle w:val="6"/>
          <w:rFonts w:hint="eastAsia"/>
          <w:color w:val="000000"/>
          <w:shd w:val="clear" w:color="auto" w:fill="FFFFFF"/>
          <w:lang w:eastAsia="zh-CN"/>
        </w:rPr>
        <w:t>（二）</w:t>
      </w:r>
      <w:r>
        <w:rPr>
          <w:rStyle w:val="6"/>
          <w:rFonts w:hint="eastAsia"/>
          <w:color w:val="000000"/>
          <w:shd w:val="clear" w:color="auto" w:fill="FFFFFF"/>
        </w:rPr>
        <w:t>服务范围</w:t>
      </w:r>
    </w:p>
    <w:p w14:paraId="3C2AC4DA">
      <w:pPr>
        <w:spacing w:line="360" w:lineRule="auto"/>
        <w:ind w:firstLine="480" w:firstLineChars="200"/>
        <w:rPr>
          <w:rFonts w:ascii="宋体" w:hAnsi="宋体"/>
          <w:sz w:val="24"/>
          <w:szCs w:val="24"/>
        </w:rPr>
      </w:pPr>
      <w:r>
        <w:rPr>
          <w:rFonts w:hint="eastAsia" w:ascii="宋体" w:hAnsi="宋体"/>
          <w:sz w:val="24"/>
          <w:szCs w:val="24"/>
        </w:rPr>
        <w:t>对</w:t>
      </w:r>
      <w:r>
        <w:rPr>
          <w:rFonts w:hint="eastAsia" w:ascii="宋体" w:hAnsi="宋体"/>
          <w:sz w:val="24"/>
          <w:szCs w:val="24"/>
          <w:lang w:eastAsia="zh-CN"/>
        </w:rPr>
        <w:t>福州大学附属省立医院（含东街院区和金山院区）</w:t>
      </w:r>
      <w:r>
        <w:rPr>
          <w:rFonts w:hint="eastAsia" w:ascii="宋体" w:hAnsi="宋体"/>
          <w:sz w:val="24"/>
          <w:szCs w:val="24"/>
        </w:rPr>
        <w:t>现有正在运行的</w:t>
      </w:r>
      <w:r>
        <w:rPr>
          <w:rFonts w:hint="eastAsia" w:ascii="宋体" w:hAnsi="宋体"/>
          <w:sz w:val="24"/>
          <w:szCs w:val="24"/>
          <w:lang w:val="en-US" w:eastAsia="zh-CN"/>
        </w:rPr>
        <w:t>医疗专用无线网络</w:t>
      </w:r>
      <w:r>
        <w:rPr>
          <w:rFonts w:hint="eastAsia" w:ascii="宋体" w:hAnsi="宋体"/>
          <w:sz w:val="24"/>
          <w:szCs w:val="24"/>
        </w:rPr>
        <w:t>提供一年网络设备7*24小时运维服务。</w:t>
      </w:r>
      <w:r>
        <w:rPr>
          <w:rFonts w:hint="eastAsia" w:ascii="宋体" w:hAnsi="宋体"/>
          <w:sz w:val="24"/>
          <w:szCs w:val="24"/>
          <w:lang w:val="en-US" w:eastAsia="zh-CN"/>
        </w:rPr>
        <w:t>服务</w:t>
      </w:r>
      <w:r>
        <w:rPr>
          <w:rFonts w:hint="eastAsia" w:ascii="宋体" w:hAnsi="宋体"/>
          <w:sz w:val="24"/>
          <w:szCs w:val="24"/>
        </w:rPr>
        <w:t>工程师应具备</w:t>
      </w:r>
      <w:r>
        <w:rPr>
          <w:rFonts w:hint="eastAsia" w:cs="宋体"/>
          <w:spacing w:val="-4"/>
          <w:sz w:val="24"/>
          <w:szCs w:val="24"/>
          <w:lang w:val="en-US" w:eastAsia="zh-CN"/>
        </w:rPr>
        <w:t>须具备</w:t>
      </w:r>
      <w:r>
        <w:rPr>
          <w:rFonts w:hint="eastAsia" w:ascii="宋体" w:hAnsi="宋体" w:eastAsia="宋体" w:cs="宋体"/>
          <w:spacing w:val="2"/>
          <w:sz w:val="24"/>
          <w:szCs w:val="24"/>
        </w:rPr>
        <w:t>医疗</w:t>
      </w:r>
      <w:r>
        <w:rPr>
          <w:rFonts w:hint="eastAsia" w:ascii="宋体" w:hAnsi="宋体" w:eastAsia="宋体" w:cs="宋体"/>
          <w:spacing w:val="2"/>
          <w:sz w:val="24"/>
          <w:szCs w:val="24"/>
          <w:lang w:val="en-US" w:eastAsia="zh-CN"/>
        </w:rPr>
        <w:t>专用</w:t>
      </w:r>
      <w:r>
        <w:rPr>
          <w:rFonts w:hint="eastAsia" w:ascii="宋体" w:hAnsi="宋体" w:eastAsia="宋体" w:cs="宋体"/>
          <w:spacing w:val="2"/>
          <w:sz w:val="24"/>
          <w:szCs w:val="24"/>
        </w:rPr>
        <w:t>无线网络系统</w:t>
      </w:r>
      <w:r>
        <w:rPr>
          <w:rFonts w:hint="eastAsia" w:cs="宋体"/>
          <w:spacing w:val="2"/>
          <w:sz w:val="24"/>
          <w:szCs w:val="24"/>
          <w:lang w:val="en-US" w:eastAsia="zh-CN"/>
        </w:rPr>
        <w:t>服务能力，</w:t>
      </w:r>
      <w:r>
        <w:rPr>
          <w:rFonts w:hint="eastAsia" w:cs="宋体"/>
          <w:color w:val="0000FF"/>
          <w:spacing w:val="2"/>
          <w:sz w:val="24"/>
          <w:szCs w:val="24"/>
          <w:lang w:val="en-US" w:eastAsia="zh-CN"/>
        </w:rPr>
        <w:t>派驻现场服务人员必须取得医疗专用无线网络设备产品制造商技术认证证书</w:t>
      </w:r>
      <w:r>
        <w:rPr>
          <w:rFonts w:hint="eastAsia" w:cs="宋体"/>
          <w:spacing w:val="2"/>
          <w:sz w:val="24"/>
          <w:szCs w:val="24"/>
          <w:lang w:val="en-US" w:eastAsia="zh-CN"/>
        </w:rPr>
        <w:t>。</w:t>
      </w:r>
      <w:r>
        <w:rPr>
          <w:rFonts w:hint="eastAsia" w:ascii="宋体" w:hAnsi="宋体"/>
          <w:sz w:val="24"/>
          <w:szCs w:val="24"/>
        </w:rPr>
        <w:t>服务商需在进场实施前向采购人提交驻点工程师身份证、证书</w:t>
      </w:r>
      <w:r>
        <w:rPr>
          <w:rFonts w:hint="eastAsia" w:ascii="宋体" w:hAnsi="宋体"/>
          <w:sz w:val="24"/>
          <w:szCs w:val="24"/>
          <w:lang w:val="en-US" w:eastAsia="zh-CN"/>
        </w:rPr>
        <w:t>等</w:t>
      </w:r>
      <w:r>
        <w:rPr>
          <w:rFonts w:hint="eastAsia" w:ascii="宋体" w:hAnsi="宋体"/>
          <w:sz w:val="24"/>
          <w:szCs w:val="24"/>
        </w:rPr>
        <w:t>备案办理工作牌。并承诺在服务期间未经采购人允许不得更换驻点工程师。</w:t>
      </w:r>
    </w:p>
    <w:p w14:paraId="555E216C">
      <w:pPr>
        <w:pStyle w:val="3"/>
        <w:spacing w:before="0" w:beforeAutospacing="0" w:after="0" w:afterAutospacing="0" w:line="360" w:lineRule="auto"/>
        <w:rPr>
          <w:rStyle w:val="6"/>
          <w:color w:val="000000"/>
          <w:shd w:val="clear" w:color="auto" w:fill="FFFFFF"/>
        </w:rPr>
      </w:pPr>
      <w:r>
        <w:rPr>
          <w:rStyle w:val="6"/>
          <w:rFonts w:hint="eastAsia"/>
          <w:color w:val="000000"/>
          <w:shd w:val="clear" w:color="auto" w:fill="FFFFFF"/>
          <w:lang w:eastAsia="zh-CN"/>
        </w:rPr>
        <w:t>（三）</w:t>
      </w:r>
      <w:r>
        <w:rPr>
          <w:rStyle w:val="6"/>
          <w:rFonts w:hint="eastAsia"/>
          <w:color w:val="000000"/>
          <w:shd w:val="clear" w:color="auto" w:fill="FFFFFF"/>
        </w:rPr>
        <w:t>服务内容</w:t>
      </w:r>
    </w:p>
    <w:p w14:paraId="3466715E">
      <w:pPr>
        <w:spacing w:line="360" w:lineRule="auto"/>
        <w:rPr>
          <w:rFonts w:ascii="宋体" w:hAnsi="宋体"/>
          <w:b/>
          <w:bCs/>
          <w:sz w:val="24"/>
          <w:szCs w:val="24"/>
        </w:rPr>
      </w:pPr>
      <w:r>
        <w:rPr>
          <w:rFonts w:hint="eastAsia" w:ascii="宋体" w:hAnsi="宋体"/>
          <w:b/>
          <w:bCs/>
          <w:sz w:val="24"/>
          <w:szCs w:val="24"/>
        </w:rPr>
        <w:t>1、文档服务</w:t>
      </w:r>
    </w:p>
    <w:p w14:paraId="5917F532">
      <w:pPr>
        <w:spacing w:line="360" w:lineRule="auto"/>
        <w:ind w:firstLine="480" w:firstLineChars="200"/>
        <w:rPr>
          <w:rFonts w:ascii="宋体" w:hAnsi="宋体"/>
          <w:sz w:val="24"/>
          <w:szCs w:val="24"/>
        </w:rPr>
      </w:pPr>
      <w:r>
        <w:rPr>
          <w:rFonts w:hint="eastAsia" w:ascii="宋体" w:hAnsi="宋体"/>
          <w:sz w:val="24"/>
          <w:szCs w:val="24"/>
        </w:rPr>
        <w:t>服务商应在维保合同生效后一个月内，安排人员对所有服务对象进行设备初次巡检，所有设备巡检完成需登记造册，绘制详细的网络拓补图、网络设备部署图等，提交给采购人。以上所有图纸、登记表均应精细到每台设备名称、型号、IP地址等，并在整个服务期保持实时更新。</w:t>
      </w:r>
    </w:p>
    <w:p w14:paraId="287C25E0">
      <w:pPr>
        <w:spacing w:line="360" w:lineRule="auto"/>
        <w:rPr>
          <w:rFonts w:ascii="宋体" w:hAnsi="宋体"/>
          <w:b/>
          <w:bCs/>
          <w:sz w:val="24"/>
          <w:szCs w:val="24"/>
        </w:rPr>
      </w:pPr>
      <w:r>
        <w:rPr>
          <w:rFonts w:hint="eastAsia" w:ascii="宋体" w:hAnsi="宋体"/>
          <w:b/>
          <w:bCs/>
          <w:sz w:val="24"/>
          <w:szCs w:val="24"/>
        </w:rPr>
        <w:t>2、故障处理服务</w:t>
      </w:r>
    </w:p>
    <w:p w14:paraId="77ECAC06">
      <w:pPr>
        <w:pStyle w:val="2"/>
        <w:numPr>
          <w:ilvl w:val="0"/>
          <w:numId w:val="1"/>
        </w:numPr>
        <w:tabs>
          <w:tab w:val="left" w:pos="9240"/>
        </w:tabs>
        <w:spacing w:before="156" w:line="360" w:lineRule="auto"/>
        <w:ind w:left="425" w:leftChars="0" w:right="0" w:rightChars="0" w:hanging="425" w:firstLineChars="0"/>
        <w:rPr>
          <w:rFonts w:ascii="宋体" w:hAnsi="宋体"/>
          <w:sz w:val="24"/>
          <w:szCs w:val="24"/>
        </w:rPr>
      </w:pPr>
      <w:r>
        <w:rPr>
          <w:rFonts w:hint="eastAsia" w:ascii="宋体" w:hAnsi="宋体" w:eastAsia="宋体" w:cs="宋体"/>
          <w:spacing w:val="4"/>
          <w:sz w:val="24"/>
          <w:szCs w:val="24"/>
        </w:rPr>
        <w:t>故障响应时间：响应时间≤1小时，工程师到达时间≤</w:t>
      </w:r>
      <w:r>
        <w:rPr>
          <w:rFonts w:hint="eastAsia" w:cs="宋体"/>
          <w:spacing w:val="4"/>
          <w:sz w:val="24"/>
          <w:szCs w:val="24"/>
          <w:lang w:val="en-US" w:eastAsia="zh-CN"/>
        </w:rPr>
        <w:t>2</w:t>
      </w:r>
      <w:r>
        <w:rPr>
          <w:rFonts w:hint="eastAsia" w:ascii="宋体" w:hAnsi="宋体" w:eastAsia="宋体" w:cs="宋体"/>
          <w:spacing w:val="4"/>
          <w:sz w:val="24"/>
          <w:szCs w:val="24"/>
        </w:rPr>
        <w:t>小时；如在工程师到达后</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小时内仍无法修复故障并解决硬件</w:t>
      </w:r>
      <w:r>
        <w:rPr>
          <w:rFonts w:hint="eastAsia" w:ascii="宋体" w:hAnsi="宋体" w:eastAsia="宋体" w:cs="宋体"/>
          <w:spacing w:val="3"/>
          <w:sz w:val="24"/>
          <w:szCs w:val="24"/>
        </w:rPr>
        <w:t>问题，应</w:t>
      </w:r>
      <w:r>
        <w:rPr>
          <w:rFonts w:hint="eastAsia" w:ascii="宋体" w:hAnsi="宋体" w:eastAsia="宋体" w:cs="宋体"/>
          <w:spacing w:val="3"/>
          <w:sz w:val="24"/>
          <w:szCs w:val="24"/>
          <w:lang w:val="en-US" w:eastAsia="zh-CN"/>
        </w:rPr>
        <w:t>在</w:t>
      </w:r>
      <w:r>
        <w:rPr>
          <w:rFonts w:hint="eastAsia" w:ascii="宋体" w:hAnsi="宋体" w:eastAsia="宋体" w:cs="宋体"/>
          <w:spacing w:val="3"/>
          <w:sz w:val="24"/>
          <w:szCs w:val="24"/>
        </w:rPr>
        <w:t>24小时内给予免费提供备件更换服务，备件服</w:t>
      </w:r>
      <w:r>
        <w:rPr>
          <w:rFonts w:hint="eastAsia" w:ascii="宋体" w:hAnsi="宋体" w:eastAsia="宋体" w:cs="宋体"/>
          <w:spacing w:val="2"/>
          <w:sz w:val="24"/>
          <w:szCs w:val="24"/>
        </w:rPr>
        <w:t>务性能不得低于原有网络</w:t>
      </w:r>
      <w:r>
        <w:rPr>
          <w:rFonts w:hint="eastAsia" w:ascii="宋体" w:hAnsi="宋体" w:eastAsia="宋体" w:cs="宋体"/>
          <w:spacing w:val="-12"/>
          <w:sz w:val="24"/>
          <w:szCs w:val="24"/>
        </w:rPr>
        <w:t>；</w:t>
      </w:r>
    </w:p>
    <w:p w14:paraId="67BB3CE3">
      <w:pPr>
        <w:pStyle w:val="2"/>
        <w:numPr>
          <w:ilvl w:val="0"/>
          <w:numId w:val="1"/>
        </w:numPr>
        <w:tabs>
          <w:tab w:val="left" w:pos="9240"/>
        </w:tabs>
        <w:spacing w:before="156" w:line="360" w:lineRule="auto"/>
        <w:ind w:left="425" w:leftChars="0" w:right="0" w:rightChars="0" w:hanging="425" w:firstLineChars="0"/>
        <w:rPr>
          <w:rFonts w:ascii="宋体" w:hAnsi="宋体"/>
          <w:sz w:val="24"/>
          <w:szCs w:val="24"/>
        </w:rPr>
      </w:pPr>
      <w:r>
        <w:rPr>
          <w:rFonts w:hint="eastAsia" w:ascii="宋体" w:hAnsi="宋体" w:eastAsia="宋体" w:cs="宋体"/>
          <w:spacing w:val="2"/>
          <w:sz w:val="24"/>
          <w:szCs w:val="24"/>
        </w:rPr>
        <w:t>提供的维保服务要能保证维保设备能正常工作。如维保设备无法维修，需在规定的响应时间内提供设备换新服务，提供的新设备必须能和现有系统设备兼容工作，并确保系统的工作性能</w:t>
      </w:r>
      <w:r>
        <w:rPr>
          <w:rFonts w:hint="eastAsia" w:ascii="宋体" w:hAnsi="宋体" w:eastAsia="宋体" w:cs="宋体"/>
          <w:spacing w:val="1"/>
          <w:sz w:val="24"/>
          <w:szCs w:val="24"/>
        </w:rPr>
        <w:t>不低于原有设备</w:t>
      </w:r>
      <w:r>
        <w:rPr>
          <w:rFonts w:hint="eastAsia" w:ascii="宋体" w:hAnsi="宋体"/>
          <w:sz w:val="24"/>
          <w:szCs w:val="24"/>
        </w:rPr>
        <w:t>。</w:t>
      </w:r>
    </w:p>
    <w:p w14:paraId="4D5F02C5">
      <w:pPr>
        <w:spacing w:line="360" w:lineRule="auto"/>
        <w:rPr>
          <w:rFonts w:ascii="宋体" w:hAnsi="宋体"/>
          <w:b/>
          <w:bCs/>
          <w:sz w:val="24"/>
          <w:szCs w:val="24"/>
        </w:rPr>
      </w:pPr>
      <w:r>
        <w:rPr>
          <w:rFonts w:hint="eastAsia" w:ascii="宋体" w:hAnsi="宋体"/>
          <w:b/>
          <w:bCs/>
          <w:sz w:val="24"/>
          <w:szCs w:val="24"/>
        </w:rPr>
        <w:t>4、现场支持服务</w:t>
      </w:r>
    </w:p>
    <w:p w14:paraId="50FA0CF7">
      <w:pPr>
        <w:spacing w:line="360" w:lineRule="auto"/>
        <w:rPr>
          <w:rFonts w:ascii="宋体" w:hAnsi="宋体"/>
          <w:sz w:val="24"/>
          <w:szCs w:val="24"/>
        </w:rPr>
      </w:pPr>
      <w:r>
        <w:rPr>
          <w:rFonts w:hint="eastAsia" w:ascii="宋体" w:hAnsi="宋体"/>
          <w:sz w:val="24"/>
          <w:szCs w:val="24"/>
        </w:rPr>
        <w:t>（1）服务商在采购方系统割接或业务变更（线路调整、设备移机、网络系统优化改造等）情况下，服务商须应采购方要求到达现场进行技术支撑配合。现场技术支持结束后，提交现场技术服务报告。</w:t>
      </w:r>
    </w:p>
    <w:p w14:paraId="23D051EC">
      <w:pPr>
        <w:spacing w:line="360" w:lineRule="auto"/>
        <w:rPr>
          <w:rFonts w:ascii="宋体" w:hAnsi="宋体"/>
          <w:sz w:val="24"/>
          <w:szCs w:val="24"/>
        </w:rPr>
      </w:pPr>
      <w:r>
        <w:rPr>
          <w:rFonts w:hint="eastAsia" w:ascii="宋体" w:hAnsi="宋体"/>
          <w:sz w:val="24"/>
          <w:szCs w:val="24"/>
        </w:rPr>
        <w:t>（2）在约定的服务期限内，服务商对于采购方提出的系统扩容、网络应用系统安装调试的要求，服务商须应采购方要求到现场进行技术支撑，并保证网络的畅通。</w:t>
      </w:r>
    </w:p>
    <w:p w14:paraId="09E39DAF">
      <w:pPr>
        <w:spacing w:line="360" w:lineRule="auto"/>
        <w:rPr>
          <w:rFonts w:ascii="宋体" w:hAnsi="宋体"/>
          <w:sz w:val="24"/>
          <w:szCs w:val="24"/>
        </w:rPr>
      </w:pPr>
      <w:r>
        <w:rPr>
          <w:rFonts w:hint="eastAsia" w:ascii="宋体" w:hAnsi="宋体"/>
          <w:sz w:val="24"/>
          <w:szCs w:val="24"/>
        </w:rPr>
        <w:t>（3）服务商在采购方有新设备安装调试时，应派工程师至现场进行技术支撑配合，现场技术支持结束后，提交现场技术服务报告。</w:t>
      </w:r>
    </w:p>
    <w:p w14:paraId="7C24F8F8">
      <w:pPr>
        <w:spacing w:line="360" w:lineRule="auto"/>
        <w:rPr>
          <w:rFonts w:ascii="宋体" w:hAnsi="宋体"/>
          <w:sz w:val="24"/>
          <w:szCs w:val="24"/>
        </w:rPr>
      </w:pPr>
      <w:r>
        <w:rPr>
          <w:rFonts w:hint="eastAsia" w:ascii="宋体" w:hAnsi="宋体"/>
          <w:sz w:val="24"/>
          <w:szCs w:val="24"/>
        </w:rPr>
        <w:t>（4）服务商对采购方需要更改放置地点的个别设备提供现场移机服务，服务商负责设备的拆卸及移机后的安装测试，采购方负责设备的搬迁及运输保险。</w:t>
      </w:r>
    </w:p>
    <w:p w14:paraId="31703D5A">
      <w:pPr>
        <w:spacing w:line="360" w:lineRule="auto"/>
        <w:rPr>
          <w:rFonts w:ascii="宋体" w:hAnsi="宋体"/>
          <w:sz w:val="24"/>
          <w:szCs w:val="24"/>
        </w:rPr>
      </w:pPr>
      <w:r>
        <w:rPr>
          <w:rFonts w:hint="eastAsia" w:ascii="宋体" w:hAnsi="宋体"/>
          <w:sz w:val="24"/>
          <w:szCs w:val="24"/>
        </w:rPr>
        <w:t>（5）在采购方有特殊需求时（重大活动与检查、新系统上线、系统重大升级等），服务商须按采购方要求提供工程师值守服务，具体人数由双方协商确定。</w:t>
      </w:r>
    </w:p>
    <w:p w14:paraId="39EE77E4">
      <w:pPr>
        <w:spacing w:line="360" w:lineRule="auto"/>
        <w:rPr>
          <w:rFonts w:ascii="宋体" w:hAnsi="宋体"/>
          <w:b/>
          <w:bCs/>
          <w:sz w:val="24"/>
          <w:szCs w:val="24"/>
        </w:rPr>
      </w:pPr>
      <w:r>
        <w:rPr>
          <w:rFonts w:hint="eastAsia" w:ascii="宋体" w:hAnsi="宋体"/>
          <w:b/>
          <w:bCs/>
          <w:sz w:val="24"/>
          <w:szCs w:val="24"/>
        </w:rPr>
        <w:t>5、技术咨询服务</w:t>
      </w:r>
    </w:p>
    <w:p w14:paraId="0C7A49A3">
      <w:pPr>
        <w:spacing w:line="360" w:lineRule="auto"/>
        <w:rPr>
          <w:rFonts w:ascii="宋体" w:hAnsi="宋体"/>
          <w:sz w:val="24"/>
          <w:szCs w:val="24"/>
        </w:rPr>
      </w:pPr>
      <w:r>
        <w:rPr>
          <w:rFonts w:hint="eastAsia" w:ascii="宋体" w:hAnsi="宋体"/>
          <w:sz w:val="24"/>
          <w:szCs w:val="24"/>
        </w:rPr>
        <w:t>（1）服务商负责对采购方现有系统及</w:t>
      </w:r>
      <w:r>
        <w:rPr>
          <w:rFonts w:hint="eastAsia" w:ascii="宋体" w:hAnsi="宋体"/>
          <w:sz w:val="24"/>
          <w:szCs w:val="24"/>
          <w:lang w:val="en-US" w:eastAsia="zh-CN"/>
        </w:rPr>
        <w:t>无线</w:t>
      </w:r>
      <w:r>
        <w:rPr>
          <w:rFonts w:hint="eastAsia" w:ascii="宋体" w:hAnsi="宋体"/>
          <w:sz w:val="24"/>
          <w:szCs w:val="24"/>
        </w:rPr>
        <w:t>网络进行综合分析，定位性能瓶颈，协助建立系统性能优化方案，从而使采购方的应用系统高速、稳健运行，并可满足业务不断增长的需求。</w:t>
      </w:r>
    </w:p>
    <w:p w14:paraId="4A67A398">
      <w:pPr>
        <w:spacing w:line="360" w:lineRule="auto"/>
        <w:rPr>
          <w:rFonts w:hint="eastAsia" w:ascii="宋体" w:hAnsi="宋体"/>
          <w:sz w:val="24"/>
          <w:szCs w:val="24"/>
        </w:rPr>
      </w:pPr>
      <w:r>
        <w:rPr>
          <w:rFonts w:hint="eastAsia" w:ascii="宋体" w:hAnsi="宋体"/>
          <w:sz w:val="24"/>
          <w:szCs w:val="24"/>
        </w:rPr>
        <w:t>（2）如果采购方要求，服务商应就巡检和现场服务中故障发生的原因、处理过程、以及类似故障的预防和处理经验对采购方提供必要的培训。</w:t>
      </w:r>
    </w:p>
    <w:p w14:paraId="7623F2A9">
      <w:pPr>
        <w:spacing w:line="360" w:lineRule="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）如果采购方要求，</w:t>
      </w:r>
      <w:r>
        <w:rPr>
          <w:rFonts w:hint="eastAsia" w:ascii="宋体" w:hAnsi="宋体"/>
          <w:sz w:val="24"/>
          <w:szCs w:val="24"/>
          <w:lang w:val="en-US" w:eastAsia="zh-CN"/>
        </w:rPr>
        <w:t>如新业务系统上线需新增无线网络终端，服务商需对新终端连网适配提供必要配合，并对相关应用软件厂商技术人员进行操作</w:t>
      </w:r>
      <w:r>
        <w:rPr>
          <w:rFonts w:hint="eastAsia" w:ascii="宋体" w:hAnsi="宋体"/>
          <w:sz w:val="24"/>
          <w:szCs w:val="24"/>
        </w:rPr>
        <w:t>培训</w:t>
      </w:r>
      <w:r>
        <w:rPr>
          <w:rFonts w:hint="eastAsia" w:ascii="宋体" w:hAnsi="宋体"/>
          <w:sz w:val="24"/>
          <w:szCs w:val="24"/>
          <w:lang w:eastAsia="zh-CN"/>
        </w:rPr>
        <w:t>，</w:t>
      </w:r>
      <w:r>
        <w:rPr>
          <w:rFonts w:hint="eastAsia" w:ascii="宋体" w:hAnsi="宋体"/>
          <w:sz w:val="24"/>
          <w:szCs w:val="24"/>
          <w:lang w:val="en-US" w:eastAsia="zh-CN"/>
        </w:rPr>
        <w:t>协助理解并正确使用无线网络</w:t>
      </w:r>
      <w:r>
        <w:rPr>
          <w:rFonts w:hint="eastAsia" w:ascii="宋体" w:hAnsi="宋体"/>
          <w:sz w:val="24"/>
          <w:szCs w:val="24"/>
        </w:rPr>
        <w:t>。</w:t>
      </w:r>
    </w:p>
    <w:p w14:paraId="4AE4BCE8">
      <w:pPr>
        <w:spacing w:line="360" w:lineRule="auto"/>
        <w:rPr>
          <w:rFonts w:ascii="宋体" w:hAnsi="宋体"/>
          <w:b/>
          <w:bCs/>
          <w:sz w:val="24"/>
          <w:szCs w:val="24"/>
        </w:rPr>
      </w:pPr>
      <w:r>
        <w:rPr>
          <w:rFonts w:hint="eastAsia" w:ascii="宋体" w:hAnsi="宋体"/>
          <w:b/>
          <w:bCs/>
          <w:sz w:val="24"/>
          <w:szCs w:val="24"/>
        </w:rPr>
        <w:t>6、系统巡检服务</w:t>
      </w:r>
    </w:p>
    <w:p w14:paraId="442FFA61">
      <w:pPr>
        <w:spacing w:line="360" w:lineRule="auto"/>
        <w:ind w:firstLine="480" w:firstLineChars="200"/>
        <w:rPr>
          <w:rFonts w:ascii="宋体" w:hAnsi="宋体"/>
          <w:sz w:val="24"/>
          <w:szCs w:val="24"/>
        </w:rPr>
      </w:pPr>
      <w:r>
        <w:rPr>
          <w:rFonts w:hint="eastAsia" w:ascii="宋体" w:hAnsi="宋体"/>
          <w:sz w:val="24"/>
          <w:szCs w:val="24"/>
        </w:rPr>
        <w:t>服务商</w:t>
      </w:r>
      <w:r>
        <w:rPr>
          <w:rFonts w:hint="eastAsia" w:ascii="宋体" w:hAnsi="宋体" w:eastAsia="宋体" w:cs="宋体"/>
          <w:spacing w:val="3"/>
          <w:sz w:val="24"/>
          <w:szCs w:val="24"/>
        </w:rPr>
        <w:t>提供每年4次</w:t>
      </w:r>
      <w:r>
        <w:rPr>
          <w:rFonts w:hint="eastAsia" w:ascii="宋体" w:hAnsi="宋体" w:eastAsia="宋体" w:cs="宋体"/>
          <w:spacing w:val="3"/>
          <w:sz w:val="24"/>
          <w:szCs w:val="24"/>
          <w:lang w:val="en-US" w:eastAsia="zh-CN"/>
        </w:rPr>
        <w:t>全院</w:t>
      </w:r>
      <w:r>
        <w:rPr>
          <w:rFonts w:hint="eastAsia" w:ascii="宋体" w:hAnsi="宋体" w:eastAsia="宋体" w:cs="宋体"/>
          <w:spacing w:val="3"/>
          <w:sz w:val="24"/>
          <w:szCs w:val="24"/>
        </w:rPr>
        <w:t>定期巡检服务，并提供巡检报告，</w:t>
      </w:r>
      <w:r>
        <w:rPr>
          <w:rFonts w:hint="eastAsia" w:ascii="宋体" w:hAnsi="宋体" w:eastAsia="宋体" w:cs="宋体"/>
          <w:spacing w:val="-12"/>
          <w:sz w:val="24"/>
          <w:szCs w:val="24"/>
          <w:lang w:val="en-US" w:eastAsia="zh-CN"/>
        </w:rPr>
        <w:t>巡检报告包括但不限于：基站工作状态、覆盖区域ping包、带宽测试、2.4+5.8GHz RSSI信号测试，对测试数据原始记录提供截图，并对网络质量出具结论性意见，出具书面巡检报告并提交院方相关负责人确认，</w:t>
      </w:r>
      <w:r>
        <w:rPr>
          <w:rFonts w:hint="eastAsia" w:ascii="宋体" w:hAnsi="宋体" w:eastAsia="宋体" w:cs="宋体"/>
          <w:spacing w:val="3"/>
          <w:sz w:val="24"/>
          <w:szCs w:val="24"/>
        </w:rPr>
        <w:t>及时发现问题隐患并主动更换有潜在故障的部件</w:t>
      </w:r>
      <w:r>
        <w:rPr>
          <w:rFonts w:hint="eastAsia" w:ascii="宋体" w:hAnsi="宋体"/>
          <w:sz w:val="24"/>
          <w:szCs w:val="24"/>
        </w:rPr>
        <w:t>。</w:t>
      </w:r>
    </w:p>
    <w:p w14:paraId="5142025B">
      <w:pPr>
        <w:spacing w:line="360" w:lineRule="auto"/>
        <w:rPr>
          <w:rFonts w:ascii="宋体" w:hAnsi="宋体"/>
          <w:b/>
          <w:bCs/>
          <w:sz w:val="24"/>
          <w:szCs w:val="24"/>
        </w:rPr>
      </w:pPr>
      <w:r>
        <w:rPr>
          <w:rFonts w:hint="eastAsia" w:ascii="宋体" w:hAnsi="宋体"/>
          <w:b/>
          <w:bCs/>
          <w:sz w:val="24"/>
          <w:szCs w:val="24"/>
        </w:rPr>
        <w:t>7、升级与补丁</w:t>
      </w:r>
    </w:p>
    <w:p w14:paraId="6C6139D2">
      <w:pPr>
        <w:spacing w:line="360" w:lineRule="auto"/>
        <w:rPr>
          <w:rFonts w:ascii="宋体" w:hAnsi="宋体"/>
          <w:sz w:val="24"/>
          <w:szCs w:val="24"/>
        </w:rPr>
      </w:pPr>
      <w:r>
        <w:rPr>
          <w:rFonts w:hint="eastAsia" w:ascii="宋体" w:hAnsi="宋体"/>
          <w:sz w:val="24"/>
          <w:szCs w:val="24"/>
        </w:rPr>
        <w:t>（1）采购方所有网络设备</w:t>
      </w:r>
      <w:r>
        <w:rPr>
          <w:rFonts w:hint="eastAsia" w:ascii="宋体" w:hAnsi="宋体"/>
          <w:sz w:val="24"/>
          <w:szCs w:val="24"/>
          <w:lang w:val="en-US" w:eastAsia="zh-CN"/>
        </w:rPr>
        <w:t>固件</w:t>
      </w:r>
      <w:r>
        <w:rPr>
          <w:rFonts w:hint="eastAsia" w:ascii="宋体" w:hAnsi="宋体"/>
          <w:sz w:val="24"/>
          <w:szCs w:val="24"/>
        </w:rPr>
        <w:t>等需要升级时，服务商应协助采购方获得介质并进行安装服务。</w:t>
      </w:r>
    </w:p>
    <w:p w14:paraId="68F40DA5">
      <w:pPr>
        <w:spacing w:line="360" w:lineRule="auto"/>
        <w:rPr>
          <w:rFonts w:ascii="宋体" w:hAnsi="宋体"/>
          <w:sz w:val="24"/>
          <w:szCs w:val="24"/>
        </w:rPr>
      </w:pPr>
      <w:r>
        <w:rPr>
          <w:rFonts w:hint="eastAsia" w:ascii="宋体" w:hAnsi="宋体"/>
          <w:sz w:val="24"/>
          <w:szCs w:val="24"/>
        </w:rPr>
        <w:t>（2）在服务期限内服务商应及时提供设备软硬件升级的信息，上报给采购方确认是否升级，如须升级由服务商负责对软硬件升级提供现场技术支持服务。</w:t>
      </w:r>
    </w:p>
    <w:p w14:paraId="75BC638E">
      <w:pPr>
        <w:spacing w:line="360" w:lineRule="auto"/>
        <w:rPr>
          <w:rFonts w:ascii="宋体" w:hAnsi="宋体"/>
          <w:sz w:val="24"/>
          <w:szCs w:val="24"/>
        </w:rPr>
      </w:pPr>
      <w:r>
        <w:rPr>
          <w:rFonts w:hint="eastAsia" w:ascii="宋体" w:hAnsi="宋体"/>
          <w:sz w:val="24"/>
          <w:szCs w:val="24"/>
        </w:rPr>
        <w:t>（3）</w:t>
      </w:r>
      <w:r>
        <w:rPr>
          <w:rFonts w:hint="eastAsia" w:ascii="宋体" w:hAnsi="宋体"/>
          <w:color w:val="0000FF"/>
          <w:sz w:val="24"/>
          <w:szCs w:val="24"/>
        </w:rPr>
        <w:t>软件须要付费升级的，由服务商负责支付费用。</w:t>
      </w:r>
    </w:p>
    <w:p w14:paraId="6E936265">
      <w:pPr>
        <w:spacing w:line="360" w:lineRule="auto"/>
        <w:rPr>
          <w:rFonts w:hint="eastAsia" w:ascii="宋体" w:hAnsi="宋体"/>
          <w:sz w:val="24"/>
          <w:szCs w:val="24"/>
        </w:rPr>
      </w:pPr>
      <w:r>
        <w:rPr>
          <w:rFonts w:hint="eastAsia" w:ascii="宋体" w:hAnsi="宋体"/>
          <w:sz w:val="24"/>
          <w:szCs w:val="24"/>
        </w:rPr>
        <w:t>（4）升级前服务商应配合采购方共同做好备份和相关网络数据备份（用于应急恢复）。如果升级失败，服务商负责完成系统恢复工作，保证业务正常进行。</w:t>
      </w:r>
    </w:p>
    <w:p w14:paraId="6F82A315">
      <w:pPr>
        <w:pStyle w:val="3"/>
        <w:spacing w:before="0" w:beforeAutospacing="0" w:after="0" w:afterAutospacing="0" w:line="360" w:lineRule="auto"/>
        <w:rPr>
          <w:rFonts w:ascii="微软雅黑" w:hAnsi="微软雅黑" w:eastAsia="微软雅黑" w:cs="微软雅黑"/>
          <w:color w:val="000000"/>
          <w:sz w:val="27"/>
          <w:szCs w:val="27"/>
        </w:rPr>
      </w:pPr>
      <w:r>
        <w:rPr>
          <w:rFonts w:hint="eastAsia" w:cs="宋体"/>
          <w:b/>
          <w:bCs/>
          <w:color w:val="000000"/>
          <w:kern w:val="0"/>
          <w:sz w:val="24"/>
          <w:lang w:val="en-US" w:eastAsia="zh-CN"/>
        </w:rPr>
        <w:t>8、</w:t>
      </w:r>
      <w:r>
        <w:rPr>
          <w:rFonts w:hint="eastAsia" w:ascii="宋体" w:hAnsi="宋体" w:cs="宋体"/>
          <w:b/>
          <w:bCs/>
          <w:color w:val="000000"/>
          <w:kern w:val="0"/>
          <w:sz w:val="24"/>
          <w:lang w:val="en-US" w:eastAsia="zh-CN"/>
        </w:rPr>
        <w:t>医疗专用无线网络设备</w:t>
      </w:r>
      <w:r>
        <w:rPr>
          <w:rFonts w:hint="eastAsia" w:cs="宋体"/>
          <w:b/>
          <w:bCs/>
          <w:color w:val="000000"/>
          <w:kern w:val="0"/>
          <w:sz w:val="24"/>
          <w:lang w:val="en-US" w:eastAsia="zh-CN"/>
        </w:rPr>
        <w:t>覆盖</w:t>
      </w:r>
      <w:r>
        <w:rPr>
          <w:rStyle w:val="6"/>
          <w:rFonts w:hint="eastAsia"/>
          <w:color w:val="000000"/>
          <w:shd w:val="clear" w:color="auto" w:fill="FFFFFF"/>
        </w:rPr>
        <w:t>范围</w:t>
      </w:r>
    </w:p>
    <w:tbl>
      <w:tblPr>
        <w:tblStyle w:val="7"/>
        <w:tblW w:w="8072"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2122"/>
        <w:gridCol w:w="2750"/>
        <w:gridCol w:w="695"/>
        <w:gridCol w:w="695"/>
        <w:gridCol w:w="1121"/>
      </w:tblGrid>
      <w:tr w14:paraId="11C55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89" w:type="dxa"/>
            <w:vAlign w:val="center"/>
          </w:tcPr>
          <w:p w14:paraId="46ED11DE">
            <w:pPr>
              <w:spacing w:before="88" w:line="223" w:lineRule="auto"/>
              <w:ind w:left="152"/>
              <w:jc w:val="both"/>
              <w:rPr>
                <w:rFonts w:hint="eastAsia" w:ascii="宋体" w:hAnsi="宋体" w:eastAsia="宋体" w:cs="宋体"/>
                <w:sz w:val="21"/>
                <w:szCs w:val="21"/>
              </w:rPr>
            </w:pPr>
            <w:r>
              <w:rPr>
                <w:rFonts w:hint="eastAsia" w:ascii="宋体" w:hAnsi="宋体" w:eastAsia="宋体" w:cs="宋体"/>
                <w:spacing w:val="-3"/>
                <w:sz w:val="21"/>
                <w:szCs w:val="21"/>
              </w:rPr>
              <w:t>序号</w:t>
            </w:r>
          </w:p>
        </w:tc>
        <w:tc>
          <w:tcPr>
            <w:tcW w:w="2122" w:type="dxa"/>
            <w:vAlign w:val="center"/>
          </w:tcPr>
          <w:p w14:paraId="407215CC">
            <w:pPr>
              <w:spacing w:before="88" w:line="223" w:lineRule="auto"/>
              <w:ind w:left="205"/>
              <w:jc w:val="both"/>
              <w:rPr>
                <w:rFonts w:hint="eastAsia" w:ascii="宋体" w:hAnsi="宋体" w:eastAsia="宋体" w:cs="宋体"/>
                <w:sz w:val="21"/>
                <w:szCs w:val="21"/>
              </w:rPr>
            </w:pPr>
            <w:r>
              <w:rPr>
                <w:rFonts w:hint="eastAsia" w:ascii="宋体" w:hAnsi="宋体" w:eastAsia="宋体" w:cs="宋体"/>
                <w:spacing w:val="-1"/>
                <w:sz w:val="21"/>
                <w:szCs w:val="21"/>
              </w:rPr>
              <w:t>设备名称</w:t>
            </w:r>
          </w:p>
        </w:tc>
        <w:tc>
          <w:tcPr>
            <w:tcW w:w="2750" w:type="dxa"/>
            <w:vAlign w:val="center"/>
          </w:tcPr>
          <w:p w14:paraId="690D78C6">
            <w:pPr>
              <w:spacing w:before="89" w:line="221" w:lineRule="auto"/>
              <w:ind w:left="463"/>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涉及区域</w:t>
            </w:r>
          </w:p>
        </w:tc>
        <w:tc>
          <w:tcPr>
            <w:tcW w:w="695" w:type="dxa"/>
            <w:vAlign w:val="center"/>
          </w:tcPr>
          <w:p w14:paraId="10D7EFAE">
            <w:pPr>
              <w:spacing w:before="89" w:line="221" w:lineRule="auto"/>
              <w:ind w:left="162"/>
              <w:jc w:val="both"/>
              <w:rPr>
                <w:rFonts w:hint="eastAsia" w:ascii="宋体" w:hAnsi="宋体" w:eastAsia="宋体" w:cs="宋体"/>
                <w:sz w:val="21"/>
                <w:szCs w:val="21"/>
              </w:rPr>
            </w:pPr>
            <w:r>
              <w:rPr>
                <w:rFonts w:hint="eastAsia" w:ascii="宋体" w:hAnsi="宋体" w:eastAsia="宋体" w:cs="宋体"/>
                <w:spacing w:val="-4"/>
                <w:sz w:val="21"/>
                <w:szCs w:val="21"/>
              </w:rPr>
              <w:t>数量</w:t>
            </w:r>
          </w:p>
        </w:tc>
        <w:tc>
          <w:tcPr>
            <w:tcW w:w="695" w:type="dxa"/>
            <w:vAlign w:val="center"/>
          </w:tcPr>
          <w:p w14:paraId="7E55B2F6">
            <w:pPr>
              <w:spacing w:before="89" w:line="222" w:lineRule="auto"/>
              <w:ind w:left="163"/>
              <w:jc w:val="both"/>
              <w:rPr>
                <w:rFonts w:hint="eastAsia" w:ascii="宋体" w:hAnsi="宋体" w:eastAsia="宋体" w:cs="宋体"/>
                <w:sz w:val="21"/>
                <w:szCs w:val="21"/>
              </w:rPr>
            </w:pPr>
            <w:r>
              <w:rPr>
                <w:rFonts w:hint="eastAsia" w:ascii="宋体" w:hAnsi="宋体" w:eastAsia="宋体" w:cs="宋体"/>
                <w:spacing w:val="-4"/>
                <w:sz w:val="21"/>
                <w:szCs w:val="21"/>
              </w:rPr>
              <w:t>单位</w:t>
            </w:r>
          </w:p>
        </w:tc>
        <w:tc>
          <w:tcPr>
            <w:tcW w:w="1121" w:type="dxa"/>
            <w:vAlign w:val="center"/>
          </w:tcPr>
          <w:p w14:paraId="681A301F">
            <w:pPr>
              <w:spacing w:before="88" w:line="223" w:lineRule="auto"/>
              <w:ind w:left="375"/>
              <w:jc w:val="both"/>
              <w:rPr>
                <w:rFonts w:hint="eastAsia" w:ascii="宋体" w:hAnsi="宋体" w:eastAsia="宋体" w:cs="宋体"/>
                <w:sz w:val="21"/>
                <w:szCs w:val="21"/>
              </w:rPr>
            </w:pPr>
            <w:r>
              <w:rPr>
                <w:rFonts w:hint="eastAsia" w:ascii="宋体" w:hAnsi="宋体" w:eastAsia="宋体" w:cs="宋体"/>
                <w:spacing w:val="-4"/>
                <w:sz w:val="21"/>
                <w:szCs w:val="21"/>
              </w:rPr>
              <w:t>备注</w:t>
            </w:r>
          </w:p>
        </w:tc>
      </w:tr>
      <w:tr w14:paraId="43DF6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689" w:type="dxa"/>
            <w:vAlign w:val="center"/>
          </w:tcPr>
          <w:p w14:paraId="043F65AD">
            <w:pPr>
              <w:spacing w:before="63" w:line="180" w:lineRule="auto"/>
              <w:ind w:left="299"/>
              <w:jc w:val="both"/>
              <w:rPr>
                <w:rFonts w:hint="eastAsia" w:ascii="宋体" w:hAnsi="宋体" w:eastAsia="宋体" w:cs="宋体"/>
                <w:sz w:val="21"/>
                <w:szCs w:val="21"/>
              </w:rPr>
            </w:pPr>
            <w:r>
              <w:rPr>
                <w:rFonts w:hint="eastAsia" w:ascii="宋体" w:hAnsi="宋体" w:eastAsia="宋体" w:cs="宋体"/>
                <w:sz w:val="21"/>
                <w:szCs w:val="21"/>
              </w:rPr>
              <w:t>1</w:t>
            </w:r>
          </w:p>
        </w:tc>
        <w:tc>
          <w:tcPr>
            <w:tcW w:w="2122" w:type="dxa"/>
            <w:vAlign w:val="center"/>
          </w:tcPr>
          <w:p w14:paraId="5B80CA82">
            <w:pPr>
              <w:spacing w:before="274" w:line="363" w:lineRule="auto"/>
              <w:ind w:left="100" w:right="101" w:hanging="1"/>
              <w:jc w:val="both"/>
              <w:rPr>
                <w:rFonts w:hint="eastAsia" w:ascii="宋体" w:hAnsi="宋体" w:eastAsia="宋体" w:cs="宋体"/>
                <w:sz w:val="21"/>
                <w:szCs w:val="21"/>
              </w:rPr>
            </w:pPr>
            <w:r>
              <w:rPr>
                <w:rFonts w:hint="eastAsia" w:ascii="宋体" w:hAnsi="宋体" w:eastAsia="宋体" w:cs="宋体"/>
                <w:sz w:val="21"/>
                <w:szCs w:val="21"/>
              </w:rPr>
              <w:t>WLAN</w:t>
            </w:r>
            <w:r>
              <w:rPr>
                <w:rFonts w:hint="eastAsia" w:ascii="宋体" w:hAnsi="宋体" w:eastAsia="宋体" w:cs="宋体"/>
                <w:spacing w:val="26"/>
                <w:sz w:val="21"/>
                <w:szCs w:val="21"/>
              </w:rPr>
              <w:t>室内</w:t>
            </w:r>
            <w:r>
              <w:rPr>
                <w:rFonts w:hint="eastAsia" w:ascii="宋体" w:hAnsi="宋体" w:eastAsia="宋体" w:cs="宋体"/>
                <w:sz w:val="21"/>
                <w:szCs w:val="21"/>
              </w:rPr>
              <w:t>信号分布系统基站及配</w:t>
            </w:r>
            <w:r>
              <w:rPr>
                <w:rFonts w:hint="eastAsia" w:ascii="宋体" w:hAnsi="宋体" w:eastAsia="宋体" w:cs="宋体"/>
                <w:spacing w:val="-1"/>
                <w:sz w:val="21"/>
                <w:szCs w:val="21"/>
              </w:rPr>
              <w:t>套设备</w:t>
            </w:r>
          </w:p>
        </w:tc>
        <w:tc>
          <w:tcPr>
            <w:tcW w:w="2750" w:type="dxa"/>
            <w:vAlign w:val="center"/>
          </w:tcPr>
          <w:p w14:paraId="2112A161">
            <w:pPr>
              <w:tabs>
                <w:tab w:val="left" w:pos="2100"/>
              </w:tabs>
              <w:spacing w:before="84" w:line="359" w:lineRule="auto"/>
              <w:ind w:left="102" w:right="-37"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病区/手术室/ICU等：15个</w:t>
            </w:r>
          </w:p>
          <w:p w14:paraId="5BD539AF">
            <w:pPr>
              <w:spacing w:before="27" w:line="320" w:lineRule="auto"/>
              <w:ind w:left="103" w:right="145" w:hanging="1"/>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基站：17台</w:t>
            </w:r>
          </w:p>
          <w:p w14:paraId="0E3DBCB1">
            <w:pPr>
              <w:spacing w:before="27" w:line="320" w:lineRule="auto"/>
              <w:ind w:left="103" w:right="145" w:hanging="1"/>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室分系统：15套</w:t>
            </w:r>
          </w:p>
        </w:tc>
        <w:tc>
          <w:tcPr>
            <w:tcW w:w="695" w:type="dxa"/>
            <w:vAlign w:val="center"/>
          </w:tcPr>
          <w:p w14:paraId="28B76A52">
            <w:pPr>
              <w:spacing w:before="63" w:line="181" w:lineRule="auto"/>
              <w:ind w:left="246"/>
              <w:jc w:val="both"/>
              <w:rPr>
                <w:rFonts w:hint="eastAsia" w:ascii="宋体" w:hAnsi="宋体" w:eastAsia="宋体" w:cs="宋体"/>
                <w:sz w:val="21"/>
                <w:szCs w:val="21"/>
                <w:lang w:eastAsia="zh-CN"/>
              </w:rPr>
            </w:pPr>
            <w:r>
              <w:rPr>
                <w:rFonts w:hint="eastAsia" w:ascii="宋体" w:hAnsi="宋体" w:eastAsia="宋体" w:cs="宋体"/>
                <w:spacing w:val="7"/>
                <w:sz w:val="21"/>
                <w:szCs w:val="21"/>
              </w:rPr>
              <w:t>1</w:t>
            </w:r>
            <w:r>
              <w:rPr>
                <w:rFonts w:hint="eastAsia" w:ascii="宋体" w:hAnsi="宋体" w:eastAsia="宋体" w:cs="宋体"/>
                <w:spacing w:val="7"/>
                <w:sz w:val="21"/>
                <w:szCs w:val="21"/>
                <w:lang w:val="en-US" w:eastAsia="zh-CN"/>
              </w:rPr>
              <w:t>7</w:t>
            </w:r>
          </w:p>
        </w:tc>
        <w:tc>
          <w:tcPr>
            <w:tcW w:w="695" w:type="dxa"/>
            <w:vAlign w:val="center"/>
          </w:tcPr>
          <w:p w14:paraId="428E0C3F">
            <w:pPr>
              <w:spacing w:before="62" w:line="222" w:lineRule="auto"/>
              <w:ind w:left="258"/>
              <w:jc w:val="both"/>
              <w:rPr>
                <w:rFonts w:hint="eastAsia" w:ascii="宋体" w:hAnsi="宋体" w:eastAsia="宋体" w:cs="宋体"/>
                <w:sz w:val="21"/>
                <w:szCs w:val="21"/>
              </w:rPr>
            </w:pPr>
            <w:r>
              <w:rPr>
                <w:rFonts w:hint="eastAsia" w:ascii="宋体" w:hAnsi="宋体" w:eastAsia="宋体" w:cs="宋体"/>
                <w:sz w:val="21"/>
                <w:szCs w:val="21"/>
              </w:rPr>
              <w:t>套</w:t>
            </w:r>
          </w:p>
        </w:tc>
        <w:tc>
          <w:tcPr>
            <w:tcW w:w="1121" w:type="dxa"/>
            <w:vAlign w:val="center"/>
          </w:tcPr>
          <w:p w14:paraId="2CD0667C">
            <w:pPr>
              <w:spacing w:before="62" w:line="222" w:lineRule="auto"/>
              <w:ind w:left="182"/>
              <w:jc w:val="both"/>
              <w:rPr>
                <w:rFonts w:hint="eastAsia" w:ascii="宋体" w:hAnsi="宋体" w:eastAsia="宋体" w:cs="宋体"/>
                <w:sz w:val="21"/>
                <w:szCs w:val="21"/>
              </w:rPr>
            </w:pPr>
            <w:r>
              <w:rPr>
                <w:rFonts w:hint="eastAsia" w:ascii="宋体" w:hAnsi="宋体" w:eastAsia="宋体" w:cs="宋体"/>
                <w:spacing w:val="-1"/>
                <w:sz w:val="21"/>
                <w:szCs w:val="21"/>
              </w:rPr>
              <w:t>金山院区</w:t>
            </w:r>
          </w:p>
        </w:tc>
      </w:tr>
      <w:tr w14:paraId="20CD7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689" w:type="dxa"/>
            <w:vAlign w:val="center"/>
          </w:tcPr>
          <w:p w14:paraId="414DB6B1">
            <w:pPr>
              <w:spacing w:before="63" w:line="183" w:lineRule="auto"/>
              <w:ind w:left="292"/>
              <w:jc w:val="both"/>
              <w:rPr>
                <w:rFonts w:hint="eastAsia" w:ascii="宋体" w:hAnsi="宋体" w:eastAsia="宋体" w:cs="宋体"/>
                <w:sz w:val="21"/>
                <w:szCs w:val="21"/>
              </w:rPr>
            </w:pPr>
            <w:r>
              <w:rPr>
                <w:rFonts w:hint="eastAsia" w:ascii="宋体" w:hAnsi="宋体" w:eastAsia="宋体" w:cs="宋体"/>
                <w:spacing w:val="4"/>
                <w:sz w:val="21"/>
                <w:szCs w:val="21"/>
              </w:rPr>
              <w:t>2</w:t>
            </w:r>
          </w:p>
        </w:tc>
        <w:tc>
          <w:tcPr>
            <w:tcW w:w="2122" w:type="dxa"/>
            <w:vAlign w:val="center"/>
          </w:tcPr>
          <w:p w14:paraId="72E60A98">
            <w:pPr>
              <w:spacing w:before="279" w:line="363" w:lineRule="auto"/>
              <w:ind w:left="100" w:right="101" w:hanging="1"/>
              <w:jc w:val="both"/>
              <w:rPr>
                <w:rFonts w:hint="eastAsia" w:ascii="宋体" w:hAnsi="宋体" w:eastAsia="宋体" w:cs="宋体"/>
                <w:sz w:val="21"/>
                <w:szCs w:val="21"/>
              </w:rPr>
            </w:pPr>
            <w:r>
              <w:rPr>
                <w:rFonts w:hint="eastAsia" w:ascii="宋体" w:hAnsi="宋体" w:eastAsia="宋体" w:cs="宋体"/>
                <w:sz w:val="21"/>
                <w:szCs w:val="21"/>
              </w:rPr>
              <w:t>WLAN</w:t>
            </w:r>
            <w:r>
              <w:rPr>
                <w:rFonts w:hint="eastAsia" w:ascii="宋体" w:hAnsi="宋体" w:eastAsia="宋体" w:cs="宋体"/>
                <w:spacing w:val="26"/>
                <w:sz w:val="21"/>
                <w:szCs w:val="21"/>
              </w:rPr>
              <w:t>室内</w:t>
            </w:r>
            <w:r>
              <w:rPr>
                <w:rFonts w:hint="eastAsia" w:ascii="宋体" w:hAnsi="宋体" w:eastAsia="宋体" w:cs="宋体"/>
                <w:sz w:val="21"/>
                <w:szCs w:val="21"/>
              </w:rPr>
              <w:t>信号分布系统基站及配</w:t>
            </w:r>
            <w:r>
              <w:rPr>
                <w:rFonts w:hint="eastAsia" w:ascii="宋体" w:hAnsi="宋体" w:eastAsia="宋体" w:cs="宋体"/>
                <w:spacing w:val="-1"/>
                <w:sz w:val="21"/>
                <w:szCs w:val="21"/>
              </w:rPr>
              <w:t>套设备</w:t>
            </w:r>
          </w:p>
        </w:tc>
        <w:tc>
          <w:tcPr>
            <w:tcW w:w="2750" w:type="dxa"/>
            <w:vAlign w:val="center"/>
          </w:tcPr>
          <w:p w14:paraId="790D2987">
            <w:pPr>
              <w:spacing w:before="27" w:line="320" w:lineRule="auto"/>
              <w:ind w:left="103" w:right="145" w:hanging="1"/>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病区/手术室/ICU等：23个</w:t>
            </w:r>
          </w:p>
          <w:p w14:paraId="6EA1CFAA">
            <w:pPr>
              <w:spacing w:before="27" w:line="320" w:lineRule="auto"/>
              <w:ind w:left="103" w:right="145" w:hanging="1"/>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基站：23台</w:t>
            </w:r>
          </w:p>
          <w:p w14:paraId="3017A43C">
            <w:pPr>
              <w:spacing w:before="27" w:line="320" w:lineRule="auto"/>
              <w:ind w:left="103" w:right="145" w:hanging="1"/>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室分系统：23套</w:t>
            </w:r>
          </w:p>
        </w:tc>
        <w:tc>
          <w:tcPr>
            <w:tcW w:w="695" w:type="dxa"/>
            <w:vAlign w:val="center"/>
          </w:tcPr>
          <w:p w14:paraId="0FEC653E">
            <w:pPr>
              <w:spacing w:before="64" w:line="180" w:lineRule="auto"/>
              <w:ind w:left="246"/>
              <w:jc w:val="both"/>
              <w:rPr>
                <w:rFonts w:hint="eastAsia" w:ascii="宋体" w:hAnsi="宋体" w:eastAsia="宋体" w:cs="宋体"/>
                <w:sz w:val="21"/>
                <w:szCs w:val="21"/>
                <w:lang w:val="en-US" w:eastAsia="zh-CN"/>
              </w:rPr>
            </w:pPr>
            <w:r>
              <w:rPr>
                <w:rFonts w:hint="eastAsia" w:ascii="宋体" w:hAnsi="宋体" w:eastAsia="宋体" w:cs="宋体"/>
                <w:spacing w:val="7"/>
                <w:sz w:val="21"/>
                <w:szCs w:val="21"/>
                <w:lang w:val="en-US" w:eastAsia="zh-CN"/>
              </w:rPr>
              <w:t>23</w:t>
            </w:r>
          </w:p>
        </w:tc>
        <w:tc>
          <w:tcPr>
            <w:tcW w:w="695" w:type="dxa"/>
            <w:vAlign w:val="center"/>
          </w:tcPr>
          <w:p w14:paraId="1289278A">
            <w:pPr>
              <w:spacing w:before="62" w:line="222" w:lineRule="auto"/>
              <w:ind w:left="258"/>
              <w:jc w:val="both"/>
              <w:rPr>
                <w:rFonts w:hint="eastAsia" w:ascii="宋体" w:hAnsi="宋体" w:eastAsia="宋体" w:cs="宋体"/>
                <w:sz w:val="21"/>
                <w:szCs w:val="21"/>
              </w:rPr>
            </w:pPr>
            <w:r>
              <w:rPr>
                <w:rFonts w:hint="eastAsia" w:ascii="宋体" w:hAnsi="宋体" w:eastAsia="宋体" w:cs="宋体"/>
                <w:sz w:val="21"/>
                <w:szCs w:val="21"/>
              </w:rPr>
              <w:t>套</w:t>
            </w:r>
          </w:p>
        </w:tc>
        <w:tc>
          <w:tcPr>
            <w:tcW w:w="1121" w:type="dxa"/>
            <w:vAlign w:val="center"/>
          </w:tcPr>
          <w:p w14:paraId="0D487161">
            <w:pPr>
              <w:spacing w:before="62" w:line="221" w:lineRule="auto"/>
              <w:ind w:left="187"/>
              <w:jc w:val="both"/>
              <w:rPr>
                <w:rFonts w:hint="eastAsia" w:ascii="宋体" w:hAnsi="宋体" w:eastAsia="宋体" w:cs="宋体"/>
                <w:sz w:val="21"/>
                <w:szCs w:val="21"/>
              </w:rPr>
            </w:pPr>
            <w:r>
              <w:rPr>
                <w:rFonts w:hint="eastAsia" w:ascii="宋体" w:hAnsi="宋体" w:eastAsia="宋体" w:cs="宋体"/>
                <w:spacing w:val="-2"/>
                <w:sz w:val="21"/>
                <w:szCs w:val="21"/>
              </w:rPr>
              <w:t>东街院区</w:t>
            </w:r>
          </w:p>
        </w:tc>
      </w:tr>
      <w:tr w14:paraId="5F2F8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689" w:type="dxa"/>
            <w:vAlign w:val="center"/>
          </w:tcPr>
          <w:p w14:paraId="05D42231">
            <w:pPr>
              <w:spacing w:before="63" w:line="183" w:lineRule="auto"/>
              <w:ind w:left="292"/>
              <w:jc w:val="both"/>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3</w:t>
            </w:r>
          </w:p>
        </w:tc>
        <w:tc>
          <w:tcPr>
            <w:tcW w:w="2122" w:type="dxa"/>
            <w:vAlign w:val="center"/>
          </w:tcPr>
          <w:p w14:paraId="244CF9D8">
            <w:pPr>
              <w:spacing w:before="279" w:line="363" w:lineRule="auto"/>
              <w:ind w:left="100" w:right="101" w:hanging="1"/>
              <w:jc w:val="both"/>
              <w:rPr>
                <w:rFonts w:hint="eastAsia" w:ascii="宋体" w:hAnsi="宋体" w:eastAsia="宋体" w:cs="宋体"/>
                <w:sz w:val="21"/>
                <w:szCs w:val="21"/>
              </w:rPr>
            </w:pPr>
            <w:r>
              <w:rPr>
                <w:rFonts w:hint="eastAsia" w:ascii="宋体" w:hAnsi="宋体" w:eastAsia="宋体" w:cs="宋体"/>
                <w:sz w:val="21"/>
                <w:szCs w:val="21"/>
              </w:rPr>
              <w:t>WLAN</w:t>
            </w:r>
            <w:r>
              <w:rPr>
                <w:rFonts w:hint="eastAsia" w:ascii="宋体" w:hAnsi="宋体" w:eastAsia="宋体" w:cs="宋体"/>
                <w:spacing w:val="26"/>
                <w:sz w:val="21"/>
                <w:szCs w:val="21"/>
              </w:rPr>
              <w:t>室内</w:t>
            </w:r>
            <w:r>
              <w:rPr>
                <w:rFonts w:hint="eastAsia" w:ascii="宋体" w:hAnsi="宋体" w:eastAsia="宋体" w:cs="宋体"/>
                <w:sz w:val="21"/>
                <w:szCs w:val="21"/>
              </w:rPr>
              <w:t>信号分布系统配</w:t>
            </w:r>
            <w:r>
              <w:rPr>
                <w:rFonts w:hint="eastAsia" w:ascii="宋体" w:hAnsi="宋体" w:eastAsia="宋体" w:cs="宋体"/>
                <w:spacing w:val="-1"/>
                <w:sz w:val="21"/>
                <w:szCs w:val="21"/>
              </w:rPr>
              <w:t>套设备</w:t>
            </w:r>
          </w:p>
        </w:tc>
        <w:tc>
          <w:tcPr>
            <w:tcW w:w="2750" w:type="dxa"/>
            <w:vAlign w:val="center"/>
          </w:tcPr>
          <w:p w14:paraId="3586C236">
            <w:pPr>
              <w:spacing w:before="27" w:line="320" w:lineRule="auto"/>
              <w:ind w:left="103" w:right="145" w:hanging="1"/>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病区/手术室/ICU等：68个</w:t>
            </w:r>
          </w:p>
          <w:p w14:paraId="6B22E0BC">
            <w:pPr>
              <w:spacing w:before="27" w:line="320" w:lineRule="auto"/>
              <w:ind w:left="103" w:right="145" w:hanging="1"/>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基站：27台</w:t>
            </w:r>
          </w:p>
          <w:p w14:paraId="30CD4ABA">
            <w:pPr>
              <w:spacing w:before="27" w:line="320" w:lineRule="auto"/>
              <w:ind w:left="103" w:right="145" w:hanging="1"/>
              <w:jc w:val="both"/>
              <w:rPr>
                <w:rFonts w:hint="eastAsia" w:ascii="宋体" w:hAnsi="宋体" w:eastAsia="宋体" w:cs="宋体"/>
                <w:spacing w:val="10"/>
                <w:sz w:val="21"/>
                <w:szCs w:val="21"/>
              </w:rPr>
            </w:pPr>
            <w:r>
              <w:rPr>
                <w:rFonts w:hint="eastAsia" w:ascii="宋体" w:hAnsi="宋体" w:eastAsia="宋体" w:cs="宋体"/>
                <w:sz w:val="21"/>
                <w:szCs w:val="21"/>
                <w:lang w:val="en-US" w:eastAsia="zh-CN"/>
              </w:rPr>
              <w:t>室分系统：54套</w:t>
            </w:r>
          </w:p>
        </w:tc>
        <w:tc>
          <w:tcPr>
            <w:tcW w:w="695" w:type="dxa"/>
            <w:vAlign w:val="center"/>
          </w:tcPr>
          <w:p w14:paraId="315FF9F6">
            <w:pPr>
              <w:spacing w:before="64" w:line="180" w:lineRule="auto"/>
              <w:ind w:left="246"/>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27</w:t>
            </w:r>
          </w:p>
        </w:tc>
        <w:tc>
          <w:tcPr>
            <w:tcW w:w="695" w:type="dxa"/>
            <w:vAlign w:val="center"/>
          </w:tcPr>
          <w:p w14:paraId="14F15795">
            <w:pPr>
              <w:spacing w:before="62" w:line="222" w:lineRule="auto"/>
              <w:ind w:left="258"/>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1121" w:type="dxa"/>
            <w:shd w:val="clear" w:color="auto" w:fill="auto"/>
            <w:vAlign w:val="center"/>
          </w:tcPr>
          <w:p w14:paraId="1F9DFEBE">
            <w:pPr>
              <w:spacing w:before="62" w:line="221" w:lineRule="auto"/>
              <w:ind w:left="187" w:leftChars="0"/>
              <w:jc w:val="both"/>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2"/>
                <w:sz w:val="21"/>
                <w:szCs w:val="21"/>
              </w:rPr>
              <w:t>东街院区</w:t>
            </w:r>
          </w:p>
        </w:tc>
      </w:tr>
    </w:tbl>
    <w:p w14:paraId="7E71B77C">
      <w:pPr>
        <w:pStyle w:val="3"/>
        <w:spacing w:before="0" w:beforeAutospacing="0" w:after="0" w:afterAutospacing="0" w:line="405" w:lineRule="atLeast"/>
        <w:rPr>
          <w:rStyle w:val="6"/>
          <w:color w:val="000000"/>
        </w:rPr>
      </w:pPr>
    </w:p>
    <w:p w14:paraId="4022A983">
      <w:pPr>
        <w:pStyle w:val="3"/>
        <w:spacing w:before="0" w:beforeAutospacing="0" w:after="0" w:afterAutospacing="0" w:line="360" w:lineRule="auto"/>
        <w:rPr>
          <w:rStyle w:val="6"/>
          <w:color w:val="000000"/>
          <w:shd w:val="clear" w:color="auto" w:fill="FFFFFF"/>
        </w:rPr>
      </w:pPr>
      <w:r>
        <w:rPr>
          <w:rStyle w:val="6"/>
          <w:rFonts w:hint="eastAsia"/>
          <w:color w:val="000000"/>
          <w:shd w:val="clear" w:color="auto" w:fill="FFFFFF"/>
        </w:rPr>
        <w:t>服务内容</w:t>
      </w:r>
    </w:p>
    <w:p w14:paraId="3E054BEC">
      <w:pPr>
        <w:spacing w:line="360" w:lineRule="auto"/>
        <w:ind w:firstLine="240" w:firstLineChars="100"/>
        <w:rPr>
          <w:rFonts w:ascii="宋体" w:hAnsi="宋体"/>
          <w:sz w:val="24"/>
          <w:szCs w:val="24"/>
        </w:rPr>
      </w:pPr>
      <w:r>
        <w:rPr>
          <w:rFonts w:hint="eastAsia" w:ascii="宋体" w:hAnsi="宋体"/>
          <w:sz w:val="24"/>
          <w:szCs w:val="24"/>
        </w:rPr>
        <w:t>★1、对服务范围内的所有设备提供为期1年的设备续保服务，续保服务期自采购合同生效之日起计算。续保服务期内，供应商按合同条款提供免费服务，续保期间，设备非因人为与不可抗力原因造成的设备损坏由中标方负责包修、包换。</w:t>
      </w:r>
    </w:p>
    <w:p w14:paraId="3426ADC4">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3、提供的维保服务要能保证维保设备能正常工作。如维保设备无法维修，需在规定的响应时间内提供设备换新服务，提供的新设备必须能和现有系统设备兼容工作，并确保系统的工作性能不低于原有设备。</w:t>
      </w:r>
      <w:r>
        <w:rPr>
          <w:rFonts w:hint="eastAsia" w:ascii="宋体" w:hAnsi="宋体"/>
          <w:sz w:val="24"/>
          <w:szCs w:val="24"/>
          <w:lang w:val="en-US" w:eastAsia="zh-CN"/>
        </w:rPr>
        <w:t>新设备必须</w:t>
      </w:r>
      <w:r>
        <w:rPr>
          <w:rFonts w:hint="eastAsia" w:ascii="宋体" w:hAnsi="宋体"/>
          <w:sz w:val="24"/>
          <w:szCs w:val="24"/>
        </w:rPr>
        <w:t>通过正规渠道获得，不得使用二手、翻新、拆机、代用等问题配件</w:t>
      </w:r>
      <w:r>
        <w:rPr>
          <w:rFonts w:hint="eastAsia" w:ascii="宋体" w:hAnsi="宋体"/>
          <w:sz w:val="24"/>
          <w:szCs w:val="24"/>
          <w:lang w:eastAsia="zh-CN"/>
        </w:rPr>
        <w:t>，</w:t>
      </w:r>
      <w:r>
        <w:rPr>
          <w:rFonts w:hint="eastAsia" w:ascii="宋体" w:hAnsi="宋体"/>
          <w:sz w:val="24"/>
          <w:szCs w:val="24"/>
          <w:lang w:val="en-US" w:eastAsia="zh-CN"/>
        </w:rPr>
        <w:t>新设备采购费用包含本次报价范围内，采购人不再另行支付费用。</w:t>
      </w:r>
    </w:p>
    <w:p w14:paraId="4AE4F592">
      <w:pPr>
        <w:spacing w:line="360" w:lineRule="auto"/>
        <w:ind w:firstLine="480" w:firstLineChars="200"/>
        <w:rPr>
          <w:rFonts w:ascii="宋体" w:hAnsi="宋体"/>
          <w:sz w:val="24"/>
          <w:szCs w:val="24"/>
        </w:rPr>
      </w:pPr>
      <w:r>
        <w:rPr>
          <w:rFonts w:hint="eastAsia" w:ascii="宋体" w:hAnsi="宋体"/>
          <w:sz w:val="24"/>
          <w:szCs w:val="24"/>
        </w:rPr>
        <w:t>4、供应商应该对服务范围内的设备</w:t>
      </w:r>
      <w:r>
        <w:rPr>
          <w:rFonts w:hint="eastAsia" w:ascii="宋体" w:hAnsi="宋体" w:eastAsia="宋体" w:cs="宋体"/>
          <w:spacing w:val="3"/>
          <w:sz w:val="24"/>
          <w:szCs w:val="24"/>
        </w:rPr>
        <w:t>提供每年4次定期巡检服务，并提供巡检报告，</w:t>
      </w:r>
      <w:r>
        <w:rPr>
          <w:rFonts w:hint="eastAsia" w:ascii="宋体" w:hAnsi="宋体" w:eastAsia="宋体" w:cs="宋体"/>
          <w:spacing w:val="-12"/>
          <w:sz w:val="24"/>
          <w:szCs w:val="24"/>
          <w:lang w:val="en-US" w:eastAsia="zh-CN"/>
        </w:rPr>
        <w:t>巡检报告包括但不限于：基站工作状态、覆盖区域ping包、带宽测试、2.4+5.8GHz RSSI信号测试，对测试数据原始记录提供截图，并对网络质量出具结论性意见，出具书面巡检报告并提交院方相关负责人确认，</w:t>
      </w:r>
      <w:r>
        <w:rPr>
          <w:rFonts w:hint="eastAsia" w:ascii="宋体" w:hAnsi="宋体" w:eastAsia="宋体" w:cs="宋体"/>
          <w:spacing w:val="3"/>
          <w:sz w:val="24"/>
          <w:szCs w:val="24"/>
        </w:rPr>
        <w:t>及时发现问题隐患并主动更换有潜在故障的部件</w:t>
      </w:r>
      <w:r>
        <w:rPr>
          <w:rFonts w:hint="eastAsia" w:ascii="宋体" w:hAnsi="宋体"/>
          <w:sz w:val="24"/>
          <w:szCs w:val="24"/>
        </w:rPr>
        <w:t>。</w:t>
      </w:r>
    </w:p>
    <w:p w14:paraId="3CB966D8">
      <w:pPr>
        <w:spacing w:line="360" w:lineRule="auto"/>
        <w:ind w:firstLine="480" w:firstLineChars="200"/>
        <w:rPr>
          <w:rFonts w:hint="eastAsia" w:ascii="宋体" w:hAnsi="宋体" w:eastAsia="宋体" w:cs="Times New Roman"/>
          <w:sz w:val="24"/>
          <w:szCs w:val="24"/>
        </w:rPr>
      </w:pPr>
      <w:r>
        <w:rPr>
          <w:rFonts w:hint="eastAsia" w:ascii="宋体" w:hAnsi="宋体" w:cs="Times New Roman"/>
          <w:sz w:val="24"/>
          <w:szCs w:val="24"/>
          <w:lang w:val="en-US" w:eastAsia="zh-CN"/>
        </w:rPr>
        <w:t>5</w:t>
      </w:r>
      <w:r>
        <w:rPr>
          <w:rFonts w:hint="eastAsia" w:ascii="宋体" w:hAnsi="宋体" w:eastAsia="宋体" w:cs="Times New Roman"/>
          <w:sz w:val="24"/>
          <w:szCs w:val="24"/>
        </w:rPr>
        <w:t>、★其中</w:t>
      </w:r>
      <w:r>
        <w:rPr>
          <w:rFonts w:hint="eastAsia" w:ascii="宋体" w:hAnsi="宋体" w:cs="Times New Roman"/>
          <w:sz w:val="24"/>
          <w:szCs w:val="24"/>
          <w:lang w:val="en-US" w:eastAsia="zh-CN"/>
        </w:rPr>
        <w:t>W</w:t>
      </w:r>
      <w:r>
        <w:rPr>
          <w:rFonts w:hint="eastAsia" w:ascii="宋体" w:hAnsi="宋体" w:eastAsia="宋体" w:cs="Times New Roman"/>
          <w:sz w:val="24"/>
          <w:szCs w:val="24"/>
        </w:rPr>
        <w:t>LAN室内信号分布系统基站为院区网络关键核心设备，中标人需承诺提供原厂续保</w:t>
      </w:r>
      <w:r>
        <w:rPr>
          <w:rFonts w:hint="eastAsia" w:ascii="宋体" w:hAnsi="宋体" w:cs="Times New Roman"/>
          <w:sz w:val="24"/>
          <w:szCs w:val="24"/>
          <w:lang w:eastAsia="zh-CN"/>
        </w:rPr>
        <w:t>，</w:t>
      </w:r>
      <w:r>
        <w:rPr>
          <w:rFonts w:hint="eastAsia" w:ascii="宋体" w:hAnsi="宋体" w:cs="Times New Roman"/>
          <w:color w:val="0000FF"/>
          <w:sz w:val="24"/>
          <w:szCs w:val="24"/>
          <w:lang w:val="en-US" w:eastAsia="zh-CN"/>
        </w:rPr>
        <w:t>签订合同时需要提供原厂质保承诺书</w:t>
      </w:r>
      <w:r>
        <w:rPr>
          <w:rFonts w:hint="eastAsia" w:ascii="宋体" w:hAnsi="宋体" w:eastAsia="宋体" w:cs="Times New Roman"/>
          <w:sz w:val="24"/>
          <w:szCs w:val="24"/>
        </w:rPr>
        <w:t>。</w:t>
      </w:r>
    </w:p>
    <w:p w14:paraId="25A2E031">
      <w:pPr>
        <w:spacing w:line="360" w:lineRule="auto"/>
        <w:ind w:firstLine="488" w:firstLineChars="200"/>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rPr>
        <w:t>备品备件服务：为了确保最高效提供维护保障服务，要求在</w:t>
      </w:r>
      <w:r>
        <w:rPr>
          <w:rFonts w:hint="eastAsia" w:ascii="宋体" w:hAnsi="宋体" w:cs="宋体"/>
          <w:spacing w:val="2"/>
          <w:sz w:val="24"/>
          <w:szCs w:val="24"/>
          <w:lang w:eastAsia="zh-CN"/>
        </w:rPr>
        <w:t>福州大学附属省立医院</w:t>
      </w:r>
      <w:r>
        <w:rPr>
          <w:rFonts w:hint="eastAsia" w:ascii="宋体" w:hAnsi="宋体" w:eastAsia="宋体" w:cs="宋体"/>
          <w:spacing w:val="2"/>
          <w:sz w:val="24"/>
          <w:szCs w:val="24"/>
        </w:rPr>
        <w:t>东街院区、金山院区现场分别</w:t>
      </w:r>
      <w:r>
        <w:rPr>
          <w:rFonts w:hint="eastAsia" w:ascii="宋体" w:hAnsi="宋体" w:eastAsia="宋体" w:cs="宋体"/>
          <w:color w:val="0000FF"/>
          <w:spacing w:val="2"/>
          <w:sz w:val="24"/>
          <w:szCs w:val="24"/>
        </w:rPr>
        <w:t>自建备件库</w:t>
      </w:r>
      <w:r>
        <w:rPr>
          <w:rFonts w:hint="eastAsia" w:ascii="宋体" w:hAnsi="宋体" w:eastAsia="宋体" w:cs="宋体"/>
          <w:spacing w:val="2"/>
          <w:sz w:val="24"/>
          <w:szCs w:val="24"/>
        </w:rPr>
        <w:t>，</w:t>
      </w:r>
      <w:bookmarkStart w:id="0" w:name="_GoBack"/>
      <w:bookmarkEnd w:id="0"/>
      <w:r>
        <w:rPr>
          <w:rFonts w:hint="eastAsia" w:cs="宋体"/>
          <w:spacing w:val="2"/>
          <w:sz w:val="24"/>
          <w:szCs w:val="24"/>
          <w:lang w:val="en-US" w:eastAsia="zh-CN"/>
        </w:rPr>
        <w:t>签订合同前需</w:t>
      </w:r>
      <w:r>
        <w:rPr>
          <w:rFonts w:hint="eastAsia" w:ascii="宋体" w:hAnsi="宋体" w:eastAsia="宋体" w:cs="宋体"/>
          <w:spacing w:val="2"/>
          <w:sz w:val="24"/>
          <w:szCs w:val="24"/>
        </w:rPr>
        <w:t>保证在两个院区分别至少提供</w:t>
      </w:r>
      <w:r>
        <w:rPr>
          <w:rFonts w:hint="eastAsia" w:ascii="宋体" w:hAnsi="宋体" w:eastAsia="宋体" w:cs="宋体"/>
          <w:color w:val="0000FF"/>
          <w:spacing w:val="2"/>
          <w:sz w:val="24"/>
          <w:szCs w:val="24"/>
        </w:rPr>
        <w:t>一台不低于现有性能的WLAN室内信号分布系统基站</w:t>
      </w:r>
      <w:r>
        <w:rPr>
          <w:rFonts w:hint="eastAsia" w:ascii="宋体" w:hAnsi="宋体" w:eastAsia="宋体" w:cs="宋体"/>
          <w:spacing w:val="2"/>
          <w:sz w:val="24"/>
          <w:szCs w:val="24"/>
        </w:rPr>
        <w:t>到达现场，且备品在服务期结束之前不得带离，否则按违约处理，采购人有权不予支付合同任何款项；</w:t>
      </w:r>
    </w:p>
    <w:p w14:paraId="4D1753CA">
      <w:pPr>
        <w:spacing w:line="360" w:lineRule="auto"/>
        <w:ind w:firstLine="480" w:firstLineChars="200"/>
        <w:rPr>
          <w:rFonts w:hint="eastAsia" w:ascii="宋体" w:hAnsi="宋体" w:eastAsia="宋体" w:cs="Times New Roman"/>
          <w:sz w:val="24"/>
          <w:szCs w:val="24"/>
        </w:rPr>
      </w:pPr>
    </w:p>
    <w:p w14:paraId="66D6A50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9FFEF"/>
    <w:multiLevelType w:val="singleLevel"/>
    <w:tmpl w:val="8D19FFE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YmE2OWIyODUzNGJiZDJiMzhhNThkZDkxMTMzMzYifQ=="/>
  </w:docVars>
  <w:rsids>
    <w:rsidRoot w:val="505215D3"/>
    <w:rsid w:val="045028A0"/>
    <w:rsid w:val="083308AB"/>
    <w:rsid w:val="0BF2262E"/>
    <w:rsid w:val="505215D3"/>
    <w:rsid w:val="52214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22"/>
    <w:rPr>
      <w:b/>
      <w:bCs/>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1668</Words>
  <Characters>1732</Characters>
  <Lines>0</Lines>
  <Paragraphs>0</Paragraphs>
  <TotalTime>11</TotalTime>
  <ScaleCrop>false</ScaleCrop>
  <LinksUpToDate>false</LinksUpToDate>
  <CharactersWithSpaces>1733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2024-08-28T01:09:00Z</dcterms:created>
  <dc:creator>琴</dc:creator>
  <cp:lastModifiedBy>琴</cp:lastModifiedBy>
  <dcterms:modified xsi:type="dcterms:W3CDTF">2024-12-03T03:53:17Z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12353A7C49C1427D958DF10A97E62BB5_13</vt:lpwstr>
  </property>
</Properties>
</file>