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color w:val="auto"/>
          <w:sz w:val="24"/>
          <w:szCs w:val="24"/>
          <w:lang w:val="en-US" w:eastAsia="zh-CN"/>
        </w:rPr>
      </w:pPr>
    </w:p>
    <w:p>
      <w:pPr>
        <w:pStyle w:val="10"/>
        <w:rPr>
          <w:rFonts w:hint="eastAsia" w:ascii="宋体" w:hAnsi="宋体" w:eastAsia="宋体" w:cs="宋体"/>
          <w:color w:val="auto"/>
          <w:sz w:val="24"/>
          <w:szCs w:val="24"/>
          <w:lang w:val="en-US" w:eastAsia="zh-CN"/>
        </w:rPr>
      </w:pPr>
    </w:p>
    <w:p>
      <w:pPr>
        <w:pStyle w:val="10"/>
        <w:rPr>
          <w:rFonts w:hint="eastAsia" w:ascii="宋体" w:hAnsi="宋体" w:eastAsia="宋体" w:cs="宋体"/>
          <w:color w:val="auto"/>
          <w:sz w:val="24"/>
          <w:szCs w:val="24"/>
        </w:rPr>
      </w:pPr>
    </w:p>
    <w:p>
      <w:pPr>
        <w:pStyle w:val="10"/>
        <w:rPr>
          <w:rFonts w:hint="eastAsia" w:ascii="宋体" w:hAnsi="宋体" w:eastAsia="宋体" w:cs="宋体"/>
          <w:color w:val="auto"/>
          <w:sz w:val="24"/>
          <w:szCs w:val="24"/>
        </w:rPr>
      </w:pPr>
    </w:p>
    <w:p>
      <w:pPr>
        <w:pStyle w:val="10"/>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福建省政府采购</w:t>
      </w:r>
    </w:p>
    <w:p>
      <w:pPr>
        <w:pStyle w:val="10"/>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货物和服务项目</w:t>
      </w:r>
    </w:p>
    <w:p>
      <w:pPr>
        <w:pStyle w:val="10"/>
        <w:jc w:val="center"/>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公开招标文件</w:t>
      </w:r>
    </w:p>
    <w:p>
      <w:pPr>
        <w:pStyle w:val="10"/>
        <w:jc w:val="center"/>
        <w:outlineLvl w:val="2"/>
        <w:rPr>
          <w:rFonts w:hint="eastAsia" w:ascii="宋体" w:hAnsi="宋体" w:eastAsia="宋体" w:cs="宋体"/>
          <w:b/>
          <w:color w:val="auto"/>
          <w:sz w:val="24"/>
          <w:szCs w:val="24"/>
        </w:rPr>
      </w:pPr>
    </w:p>
    <w:p>
      <w:pPr>
        <w:pStyle w:val="10"/>
        <w:jc w:val="center"/>
        <w:outlineLvl w:val="0"/>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w:t>
      </w:r>
      <w:r>
        <w:rPr>
          <w:rFonts w:hint="eastAsia" w:ascii="宋体" w:hAnsi="宋体" w:eastAsia="宋体" w:cs="宋体"/>
          <w:b/>
          <w:color w:val="auto"/>
          <w:sz w:val="72"/>
          <w:szCs w:val="72"/>
          <w:lang w:val="en-US" w:eastAsia="zh-CN"/>
        </w:rPr>
        <w:t>预公告稿件</w:t>
      </w:r>
      <w:r>
        <w:rPr>
          <w:rFonts w:hint="eastAsia" w:ascii="宋体" w:hAnsi="宋体" w:eastAsia="宋体" w:cs="宋体"/>
          <w:b/>
          <w:color w:val="auto"/>
          <w:sz w:val="72"/>
          <w:szCs w:val="72"/>
          <w:lang w:eastAsia="zh-CN"/>
        </w:rPr>
        <w:t>）</w:t>
      </w: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ind w:firstLine="1124" w:firstLineChars="400"/>
        <w:jc w:val="both"/>
        <w:outlineLvl w:val="2"/>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lang w:eastAsia="zh-CN"/>
        </w:rPr>
        <w:t>福建省立医院骨科手术显微镜采购项目</w:t>
      </w:r>
    </w:p>
    <w:p>
      <w:pPr>
        <w:pStyle w:val="10"/>
        <w:ind w:firstLine="1124" w:firstLineChars="400"/>
        <w:jc w:val="both"/>
        <w:outlineLvl w:val="2"/>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备案编号：CGXM-2023-350001-17425[2023]15970</w:t>
      </w:r>
    </w:p>
    <w:p>
      <w:pPr>
        <w:pStyle w:val="10"/>
        <w:ind w:firstLine="1124" w:firstLineChars="400"/>
        <w:jc w:val="both"/>
        <w:outlineLvl w:val="2"/>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项目编号：[350001]CCZB[GK]2024001</w:t>
      </w:r>
    </w:p>
    <w:p>
      <w:pPr>
        <w:pStyle w:val="10"/>
        <w:jc w:val="both"/>
        <w:outlineLvl w:val="2"/>
        <w:rPr>
          <w:rFonts w:hint="eastAsia" w:ascii="宋体" w:hAnsi="宋体" w:eastAsia="宋体" w:cs="宋体"/>
          <w:b/>
          <w:color w:val="auto"/>
          <w:sz w:val="28"/>
          <w:szCs w:val="28"/>
        </w:rPr>
      </w:pPr>
    </w:p>
    <w:p>
      <w:pPr>
        <w:pStyle w:val="10"/>
        <w:jc w:val="center"/>
        <w:outlineLvl w:val="2"/>
        <w:rPr>
          <w:rFonts w:hint="eastAsia" w:ascii="宋体" w:hAnsi="宋体" w:eastAsia="宋体" w:cs="宋体"/>
          <w:b/>
          <w:color w:val="auto"/>
          <w:sz w:val="28"/>
          <w:szCs w:val="28"/>
        </w:rPr>
      </w:pPr>
    </w:p>
    <w:p>
      <w:pPr>
        <w:pStyle w:val="10"/>
        <w:jc w:val="both"/>
        <w:outlineLvl w:val="2"/>
        <w:rPr>
          <w:rFonts w:hint="eastAsia" w:ascii="宋体" w:hAnsi="宋体" w:eastAsia="宋体" w:cs="宋体"/>
          <w:b/>
          <w:color w:val="auto"/>
          <w:sz w:val="28"/>
          <w:szCs w:val="28"/>
        </w:rPr>
      </w:pPr>
    </w:p>
    <w:p>
      <w:pPr>
        <w:pStyle w:val="10"/>
        <w:jc w:val="center"/>
        <w:outlineLvl w:val="2"/>
        <w:rPr>
          <w:rFonts w:hint="eastAsia" w:ascii="宋体" w:hAnsi="宋体" w:eastAsia="宋体" w:cs="宋体"/>
          <w:b/>
          <w:color w:val="auto"/>
          <w:sz w:val="28"/>
          <w:szCs w:val="28"/>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采购人：福建省立医院</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代理机构：福建省承诚招标代理有限公司</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编制时间：202</w:t>
      </w: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月</w:t>
      </w:r>
    </w:p>
    <w:p>
      <w:pPr>
        <w:pStyle w:val="10"/>
        <w:rPr>
          <w:rFonts w:hint="eastAsia" w:ascii="宋体" w:hAnsi="宋体" w:eastAsia="宋体" w:cs="宋体"/>
          <w:color w:val="auto"/>
          <w:sz w:val="24"/>
          <w:szCs w:val="24"/>
        </w:rPr>
      </w:pPr>
    </w:p>
    <w:p>
      <w:pPr>
        <w:pStyle w:val="1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1"/>
        <w:rPr>
          <w:rFonts w:hint="eastAsia" w:ascii="宋体" w:hAnsi="宋体" w:eastAsia="宋体" w:cs="宋体"/>
          <w:b/>
          <w:color w:val="auto"/>
          <w:sz w:val="32"/>
          <w:szCs w:val="32"/>
        </w:rPr>
        <w:sectPr>
          <w:pgSz w:w="11906" w:h="16838"/>
          <w:pgMar w:top="1440" w:right="1800" w:bottom="1440" w:left="1800" w:header="851" w:footer="992" w:gutter="0"/>
          <w:cols w:space="425" w:num="1"/>
          <w:docGrid w:type="lines" w:linePitch="312" w:charSpace="0"/>
        </w:sectPr>
      </w:pP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第一章 投标邀请</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福建省承诚招标代理有限公司采用公开招标方式组织</w:t>
      </w:r>
      <w:r>
        <w:rPr>
          <w:rFonts w:hint="eastAsia" w:ascii="宋体" w:hAnsi="宋体" w:eastAsia="宋体" w:cs="宋体"/>
          <w:color w:val="auto"/>
          <w:sz w:val="24"/>
          <w:szCs w:val="24"/>
          <w:lang w:eastAsia="zh-CN"/>
        </w:rPr>
        <w:t>福建省立医院骨科手术显微镜采购项目</w:t>
      </w:r>
      <w:r>
        <w:rPr>
          <w:rFonts w:hint="eastAsia" w:ascii="宋体" w:hAnsi="宋体" w:eastAsia="宋体" w:cs="宋体"/>
          <w:color w:val="auto"/>
          <w:sz w:val="24"/>
          <w:szCs w:val="24"/>
        </w:rPr>
        <w:t>（以下简称：“本项目”）的政府采购活动，现邀请供应商参加投标。</w:t>
      </w:r>
    </w:p>
    <w:p>
      <w:pPr>
        <w:pStyle w:val="10"/>
        <w:ind w:firstLine="480"/>
        <w:jc w:val="left"/>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1、备案编号：CGXM-2023-350001-17425[2023]15970</w:t>
      </w:r>
    </w:p>
    <w:p>
      <w:pPr>
        <w:pStyle w:val="10"/>
        <w:ind w:firstLine="480"/>
        <w:jc w:val="left"/>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2、项目编号：[350001]CCZB[GK]2024001</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pPr>
        <w:pStyle w:val="10"/>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pPr>
        <w:pStyle w:val="10"/>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进口产品：适用于本项目。</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节能产品：适用于本项目，按照财政部《关于印发节能产品政府采购品目清单》（财库〔2019〕19号）或最新公布的品目清单执行。</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环境标志产品：适用于本项目，按照财政部《关于印发环境标志产品政府采购品目清单的通知》（财库〔2019〕18号）或最新公布的品目清单执行。</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信息安全产品：无</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采购包1：不专门面向中小企业采购</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pPr>
        <w:pStyle w:val="10"/>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pPr>
        <w:pStyle w:val="10"/>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61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招标文件规定的其他资格证明文件（若有）</w:t>
            </w:r>
          </w:p>
        </w:tc>
        <w:tc>
          <w:tcPr>
            <w:tcW w:w="461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pPr>
        <w:pStyle w:val="10"/>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11、采购人：福建省立医院</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地址：福州市鼓楼区东街134号福建省立医院</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邮编：350001</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联系人：胡工</w:t>
      </w:r>
    </w:p>
    <w:p>
      <w:pPr>
        <w:pStyle w:val="1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联系电话：0591-88216078</w:t>
      </w:r>
    </w:p>
    <w:p>
      <w:pPr>
        <w:pStyle w:val="10"/>
        <w:ind w:firstLine="480"/>
        <w:jc w:val="left"/>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12、代理机构：福建省承诚招标代理有限公司</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地址：福州市鼓楼区梁厝路2号华雄大厦3号楼17层</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邮编：350001</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联系人：林红、李杰邮箱：fjscczb@163.com</w:t>
      </w:r>
    </w:p>
    <w:p>
      <w:pPr>
        <w:pStyle w:val="10"/>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联系电话：0591-87555393</w:t>
      </w: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b/>
          <w:color w:val="auto"/>
          <w:sz w:val="24"/>
          <w:szCs w:val="24"/>
        </w:rPr>
      </w:pP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开户名称：福建省承诚招标代理有限公司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1、投标人应认真核对账户信息，将投标保证金汇入以上账户，并自行承担因汇错投标保证金而产生的一切后果。</w:t>
            </w:r>
          </w:p>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2、投标人在转账或电汇的凭证上应按照以下格式注明，以便核对：“（项目编号：***）的投标保证金”。</w:t>
            </w:r>
          </w:p>
        </w:tc>
      </w:tr>
    </w:tbl>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pPr>
        <w:pStyle w:val="10"/>
        <w:jc w:val="left"/>
        <w:rPr>
          <w:rFonts w:hint="eastAsia" w:ascii="宋体" w:hAnsi="宋体" w:eastAsia="宋体" w:cs="宋体"/>
          <w:color w:val="auto"/>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采购包1：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xml:space="preserve">采购包预算金额（元）: </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rPr>
        <w:t>00,000.00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采购包最高限价（元）:</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rPr>
        <w:t>00,000.00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xml:space="preserve">采购包保证金金额（元）: </w:t>
      </w:r>
      <w:r>
        <w:rPr>
          <w:rFonts w:hint="eastAsia" w:ascii="宋体" w:hAnsi="宋体" w:eastAsia="宋体" w:cs="宋体"/>
          <w:i w:val="0"/>
          <w:iCs w:val="0"/>
          <w:caps w:val="0"/>
          <w:color w:val="auto"/>
          <w:spacing w:val="0"/>
          <w:sz w:val="24"/>
          <w:szCs w:val="24"/>
          <w:shd w:val="clear" w:fill="FFFFFF"/>
          <w:lang w:val="en-US" w:eastAsia="zh-CN"/>
        </w:rPr>
        <w:t>50</w:t>
      </w:r>
      <w:r>
        <w:rPr>
          <w:rFonts w:hint="eastAsia" w:ascii="宋体" w:hAnsi="宋体" w:eastAsia="宋体" w:cs="宋体"/>
          <w:i w:val="0"/>
          <w:iCs w:val="0"/>
          <w:caps w:val="0"/>
          <w:color w:val="auto"/>
          <w:spacing w:val="0"/>
          <w:sz w:val="24"/>
          <w:szCs w:val="24"/>
          <w:shd w:val="clear" w:fill="FFFFFF"/>
        </w:rPr>
        <w:t>,000.00</w:t>
      </w:r>
    </w:p>
    <w:tbl>
      <w:tblPr>
        <w:tblStyle w:val="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3"/>
        <w:gridCol w:w="1709"/>
        <w:gridCol w:w="855"/>
        <w:gridCol w:w="1709"/>
        <w:gridCol w:w="855"/>
        <w:gridCol w:w="1292"/>
        <w:gridCol w:w="12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序号</w:t>
            </w:r>
          </w:p>
        </w:tc>
        <w:tc>
          <w:tcPr>
            <w:tcW w:w="99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数量</w:t>
            </w:r>
          </w:p>
        </w:tc>
        <w:tc>
          <w:tcPr>
            <w:tcW w:w="99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计量单位</w:t>
            </w:r>
          </w:p>
        </w:tc>
        <w:tc>
          <w:tcPr>
            <w:tcW w:w="75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所属行业</w:t>
            </w:r>
          </w:p>
        </w:tc>
        <w:tc>
          <w:tcPr>
            <w:tcW w:w="74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手术显微镜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5,000,000.00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套</w:t>
            </w:r>
          </w:p>
        </w:tc>
        <w:tc>
          <w:tcPr>
            <w:tcW w:w="75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工业</w:t>
            </w:r>
          </w:p>
        </w:tc>
        <w:tc>
          <w:tcPr>
            <w:tcW w:w="74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是</w:t>
            </w:r>
          </w:p>
        </w:tc>
      </w:tr>
    </w:tbl>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第二章 投标人须知前附表</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590"/>
        <w:gridCol w:w="61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招标文件</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（第三章）</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6.1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是否组织现场考察或召开开标前答疑会：</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10.4</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投标文件的份数：</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（1）可读介质（光盘或U盘）1份：投标人应将其上传至福建省政府采购网上公开信息系统的电子投标文件在该可读介质中另存1份。</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10.7-（1）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是否允许中标人将本项目的非主体、非关键性工作进行分包：</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4</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10.8-（1）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12.1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确定中标候选人名单：</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6</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12.2</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本项目中标人的确定（以采购包为单位）：</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（1）采购人应在政府采购招投标管理办法规定的时限内确定中标人。</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（2）若出现中标候选人并列情形，则按照下列方式确定中标人：</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①招标文件规定的方式：</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若有相同的最高得分且投标报价相同的，则按技术部分得分从高到低顺序进行排列，技术部分得分最高的投标人将被排序在前。</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②若本款第①点规定方式为“无”，则按照下列方式确定：</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③若本款第①、②点规定方式均为“无”，则按照下列方式确定：随机抽取。</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（3）本项目确定的中标人家数：</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7</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13.2</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8</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15.1-（2）</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9</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15.4</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招标文件的质疑</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（1）潜在投标人可在质疑时效期间内对招标文件以书面形式提出质疑。</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（2）质疑时效期间：应在依法获取招标文件之日起7个工作日内向福建省承诚招标代理有限公司提出，依法获取招标文件的时间以福建省政府采购网上公开信息系统记载的为准。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10</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16.1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11</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18.1</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财政部和福建省财政厅指定的政府采购信息发布媒体（以下简称：“指定媒体”）：</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（1）中国政府采购网，网址www.ccgp.gov.cn。</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（2）中国政府采购网福建分网（福建省政府采购网），网址zfcg.czt.fujian.gov.cn。</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12</w:t>
            </w:r>
          </w:p>
        </w:tc>
        <w:tc>
          <w:tcPr>
            <w:tcW w:w="159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19</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其他事项：</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(1)本项目代理服务费：</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本项目收取代理服务费</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代理服务费用收取对象：中标/成交供应商</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代理服务费收费标准：</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①服务费：A、代理服务费收费标准：以中标金额作为计算基数，按差额定率累进法计算收取代理服务费。招标代理服务费收费标准</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中标金额（万元</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100万以下收费费率标准 1.5% ； 100～500万元收费费率标准1.1%； 【按照以上标准整体下浮30%计取招标代理服务费</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B、中标人应在领取中标通知书的同时按中标金额及服务费收费标准向代理机构缴纳服务费。中标人应在领取中标通知书前以转</w:t>
            </w:r>
            <w:r>
              <w:rPr>
                <w:rFonts w:hint="eastAsia" w:ascii="宋体" w:hAnsi="宋体" w:eastAsia="宋体" w:cs="宋体"/>
                <w:b/>
                <w:color w:val="auto"/>
                <w:sz w:val="24"/>
                <w:szCs w:val="24"/>
                <w:lang w:eastAsia="zh-CN"/>
              </w:rPr>
              <w:t>账</w:t>
            </w:r>
            <w:r>
              <w:rPr>
                <w:rFonts w:hint="eastAsia" w:ascii="宋体" w:hAnsi="宋体" w:eastAsia="宋体" w:cs="宋体"/>
                <w:b/>
                <w:color w:val="auto"/>
                <w:sz w:val="24"/>
                <w:szCs w:val="24"/>
              </w:rPr>
              <w:t xml:space="preserve">、电汇付款方式一次性向招标代理人缴纳中标服务费。凭借服务费转账底单领取通知书。（以下账号只能转中标服务费） </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开户名：福建省承诚招标代理有限公司；</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开户行：中国工商银行福州市晋安支行；</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账</w:t>
            </w:r>
            <w:r>
              <w:rPr>
                <w:rFonts w:hint="eastAsia" w:ascii="宋体" w:hAnsi="宋体" w:eastAsia="宋体" w:cs="宋体"/>
                <w:b/>
                <w:color w:val="auto"/>
                <w:sz w:val="24"/>
                <w:szCs w:val="24"/>
              </w:rPr>
              <w:t>号：1402028109600026871。</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(2)其他：</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② 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    </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③  投标人针对招标文件中一般资格证明文件 “财务状况报告”若选择提供资信证明复印件的，无需提供其开户（基本存款账户）许可证复印件，若此项规定与招标文件其他部分有矛盾的，以此项规定为准。    </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⑤招标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   ⑥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64" w:type="dxa"/>
            <w:gridSpan w:val="2"/>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c>
          <w:tcPr>
            <w:tcW w:w="6158"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后有投标人须知前附表2，请勿遗漏。</w:t>
            </w:r>
          </w:p>
        </w:tc>
      </w:tr>
    </w:tbl>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9"/>
        <w:gridCol w:w="72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727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9"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727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（1）电子招标投标活动的专门规定适用本项目电子招标投标活动。</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（2）将招标文件</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无的内容修正为下列内容：</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无后适用本项目的电子招标投标活动。</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（3）将下列内容增列为招标文件的组成部分（以下简称：“增列内容”）适用本项目的电子招标投标活动，若增列内容与招标文件其他章节内容有冲突，应以增列内容为准：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①电子招标投标活动的具体操作流程以福建省政府采购网上公开信息系统设定的为准。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②关于电子投标文件：</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a.投标人应按照福建省政府采购网上公开信息系统设定的评审节点编制电子投标文件，否则资格审查小组、评标委员会将按照不利于投标人的内容进行认定。</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③关于证明材料或资料：</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④关于“全称”、“投标人代表签字”及“加盖单位公章”：</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a.在电子投标文件中，涉及“全称”和“投标人代表签字”的内容可使用打字录入方式完成。</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b.在电子投标文件中，涉及“加盖单位公章”的内容应使用投标人的CA证书完成，否则投标无效。</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c.在电子投标文件中，若投标人按照本增列内容第④点第b项规定加盖其单位公章，则出现无全称、或投标人代表未签字等情形，不视为投标无效。</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⑤关于投标人的CA证书：</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a.投标人的CA证书应在系统规定时间内使用CA证书进行电子投标文件的解密操作，逾期未解密的视为放弃投标。</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b.投标人的CA证书可采用信封（包括但不限于：信封、档案袋、文件袋等）作为外包装进行单独包装。外包装密封、不密封皆可。</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c.投标人的CA证书或外包装应标记“项目名称、项目编号、投标人的全称”等内容，以方便识别、使用。</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d.投标人的CA证书应能正常、有效使用，否则产生不利后果由投标人承担责任。</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⑥关于投标截止时间过后</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a.未按招标文件规定提交投标保证金的，其投标将按无效投标处理。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b.有下列情形之一的，其投标无效,其保证金不予退还或通过投标保函进行索赔：</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b1不同投标人的电子投标文件具有相同内部识别码；</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b2不同投标人的投标保证金从同一单位或个人的账户转出；</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b3投标人的投标保证金同一采购包下有其他投标人提交的投标保证金；</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b4不同投标人存在串通投标的其他情形。</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⑧其他：</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tc>
      </w:tr>
    </w:tbl>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第三章 投标人须知</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1、适用范围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1.1适用于招标文件载明项目的政府采购活动（以下简称：“本次采购活动”）。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2、定义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2.1“采购标的”指招标文件载明的需要采购的货物或服务。</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2.2“潜在投标人”指按照招标文件第一章第7条规定获取招标文件且有意向参加本项目投标的供应商。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2.3“投标人”指按照招标文件第一章第7条规定获取招标文件并参加本项目投标的供应商。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2.4“单位负责人”指单位法定代表人或法律、法规规定代表单位行使职权的主要负责人。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2.5“投标人代表”指投标人的单位负责人或“单位负责人授权书”中载明的接受授权方。</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3、合格投标人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3.1一般规定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（2）投标人的资格要求：详见招标文件第一章。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3.2若本项目接受联合体投标且投标人为联合体，则联合体各方应遵守本章第3.1条规定，同时还应遵守下列规定：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（1）联合体各方应提交联合体协议，联合体协议应符合招标文件规定。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（2）联合体各方不得再单独参加或与其他供应商另外组成联合体参加同一合同项下的投标。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（3）联合体各方应共同与采购人签订政府采购合同，就政府采购合同约定的事项对采购人承担连带责任。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（5）联合体一方放弃中标的，视为联合体整体放弃中标，联合体各方承担连带责任。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（6）如本项目不接受联合体投标而投标人为联合体的，或者本项目接受联合体投标但投标人组成的联合体不符合本章第3.2条规定的，投标无效。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4、投标费用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4.1除招标文件另有规定外，投标人应自行承担其参加本项目投标所涉及的一切费用。</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5、招标文件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5.1招标文件由下述部分组成：</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（1）投标邀请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（2）投标人须知前附表（表1、2）</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（3）投标人须知</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（4）资格审查与评标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（5）招标内容及要求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（6）政府采购合同（参考文本）</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（7）电子投标文件格式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（8）按照招标文件规定作为招标文件组成部分的其他内容（若有）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5.2招标文件的澄清或修改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（1）福建省承诚招标代理有限公司可对已发出的招标文件进行必要的澄清或修改，但不得对招标文件载明的采购标的和投标人的资格要求进行改变。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除本章第5.2条第（3）款规定情形外，澄清或修改的内容可能影响电子投标文件编制的，福建省承诚招标代理有限公司将在投标截止时间至少15个日历日前，在招标文件载明的指定媒体以更正公告的形式发布澄清或修改的内容。不足15个日历日的，福建省承诚招标代理有限公司将顺延投标截止时间及开标时间，福建省承诚招标代理有限公司和投标人受原投标截止时间及开标时间制约的所有权利和义务均延长至新的投标截止时间及开标时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澄清或修改的内容可能改变招标文件载明的采购标的和投标人的资格要求的，本次采购活动结束，福建省承诚招标代理有限公司将依法组织后续采购活动（包括但不限于：重新招标、采用其他方式采购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6、现场考察或开标前答疑会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6.1是否组织现场考察或召开开标前答疑会：详见招标文件第二章。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7、更正公告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7.1若福建省承诚招标代理有限公司发布更正公告，则更正公告及其所发布的内容或信息（包括但不限于：招标文件的澄清或修改、现场考察或答疑会的有关事宜等）作为招标文件组成部分，对投标人具有约束力。</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7.2更正公告作为福建省承诚招标代理有限公司通知所有潜在投标人的书面形式。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8、终止公告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8.1若出现因重大变故导致采购任务取消情形，福建省承诚招标代理有限公司可终止招标并发布终止公告。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8.2终止公告作为福建省承诚招标代理有限公司通知所有潜在投标人的书面形式。</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9.1投标人可对招标文件载明的全部或部分采购包进行投标。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9.2投标人应对同一个采购包内的所有内容进行完整投标，否则投标无效。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9.3投标人代表只能接受一个投标人的授权参加投标，否则投标无效。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9.4单位负责人为同一人或存在直接控股、管理关系的不同供应商，不得同时参加同一合同项下的投标，否则投标无效。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9.7有下列情形之一的，视为投标人串通投标，其投标无效：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（1）不同投标人的电子投标文件由同一单位或个人编制；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（2）不同投标人委托同一单位或个人办理投标事宜；</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（3）不同投标人的电子投标文件载明的项目管理成员或联系人员为同一人；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（4）不同投标人的电子投标文件异常一致或投标报价呈规律性差异；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（5）不同投标人的电子投标文件相互混装；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（6）不同投标人的投标保证金从同一单位或个人的账户转出；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（7）有关法律、法规和规章及招标文件规定的其他串通投标情形。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10.1电子投标文件的编制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（1）投标人应先仔细阅读招标文件的全部内容后，再进行电子投标文件的编制。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（2）电子投标文件应按照本章第10.2条规定编制其组成部分。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10.2电子投标文件由下述部分组成：</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（1）资格及资信证明部分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①投标函</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②投标人的资格及资信证明文件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（2）报价部分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①开标一览表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②投标分项报价表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③招标文件规定的价格扣除证明材料（若有）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④招标文件规定的加分证明材料（若有）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（3）技术商务部分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①标的说明一览表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②技术和服务要求响应表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③商务条件响应表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④投标人提交的其他资料（若有）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⑤招标文件规定作为电子投标文件组成部分的其他内容（若有）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10.3电子投标文件的语言</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（1）除招标文件另有规定外，电子投标文件应使用中文文本，若有不同文本，以中文文本为准。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10.4投标文件的份数：详见招标文件第二章。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10.5电子投标文件的格式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（1）除招标文件另有规定外，电子投标文件应使用招标文件第七章规定的格式。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（2）除招标文件另有规定外，电子投标文件应使用不能擦去的墨料或墨水打印、书写或复印。</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（3）除招标文件另有规定外，电子投标文件应使用人民币作为计量货币。</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（4）除招标文件另有规定外，签署、盖章应遵守下列规定：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①电子投标文件应加盖投标人的单位公章。若投标人代表为单位授权的委托代理人，应提供“单位授权书”。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电子投标文件应没有涂改或行间插字，除非这些改动是根据福建省承诚招标代理有限公司的指示进行的，或是为改正投标人造成的应修改的错误而进行的。若有前述改动，应按照下列规定之一对改动处进行处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a.投标人代表签字确认；</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b.加盖投标人的单位公章或校正章。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10.6投标报价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（1）投标报价超出最高限价将导致投标无效。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（2）最高限价由采购人根据价格测算情况，在预算金额的额度内合理设定。最高限价不得超出预算金额。</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10.7分包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（1）是否允许中标人将本项目的非主体、非关键性工作进行分包：详见招标文件第二章。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（3）招标文件允许中标人将非主体、非关键性工作进行分包的项目，有下列情形之一的，中标人不得分包：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①电子投标文件中未载明分包承担主体；</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②电子投标文件载明的分包承担主体不具备相应资质条件；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③电子投标文件载明的分包承担主体拟再次分包；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④享受中小企业扶持政策获得政府采购合同的，小微企业不得将合同分包给大中型企业，中型企业不得将合同分包给大型企业。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10.8投标有效期</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（1）招标文件载明的投标有效期：详见招标文件第二章。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（2）电子投标文件承诺的投标有效期不得少于招标文件载明的投标有效期，否则投标无效。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根据本次采购活动的需要，福建省承诚招标代理有限公司可于投标有效期届满之前书面要求投标人延长投标有效期，投标人应在福建省承诚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10.9投标保证金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（1）投标保证金作为投标人按照招标文件规定履行相应投标责任、义务的约束及担保。</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（2）投标人以电子保函形式提交投标保证金的，保函的有效期应等于或长于电子投标文件承诺的投标有效期，否则投标无效。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（3）提交</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③其他形式：</w:t>
      </w:r>
    </w:p>
    <w:p>
      <w:pPr>
        <w:pStyle w:val="10"/>
        <w:jc w:val="left"/>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④若本项目接受联合体投标且投标人为联合体，则联合体中的牵头方应按照本章第10.9条第（3）款第①、②、③点规定提交投标保证金。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※除招标文件另有规定外，未按照上述规定提交投标保证金将导致资格审查不合格。</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（4）退还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①在投标截止时间前撤回已提交的电子投标文件的投标人，其投标保证金将在福建省承诚招标代理有限公司收到投标人书面撤回通知之日起5个工作日内退回原账户。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②未中标人的投标保证金将在中标通知书发出之日起5个工作日内退回原账户。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③中标人的投标保证金将在政府采购合同签订之日起5个工作日内退回原账户；合同签订之日以福建省政府采购网上公开信息系统记载的为准。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④终止招标的，福建省承诚招标代理有限公司将在终止公告发布之日起5个工作日内退回已收取的投标保证金及其在银行产生的孳息。</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⑤除招标文件另有规定外，质疑或投诉涉及的投标人，若投标保证金尚未退还，则待质疑或投诉处理完毕后不计利息原额退还。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※本章第10.9条第（4）款第①、②、③点规定的投标保证金退还时限不包括因投标人自身原因导致无法及时退还而增加的时间。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（6）有下列情形之一的，投标保证金将不予退还或通过投标保函进行索赔：</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①投标人串通投标；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②投标人提供虚假材料；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③投标人采取不正当手段诋毁、排挤其他投标人；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④投标截止时间后，投标人在投标有效期内撤销电子投标文件；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⑤招标文件规定的其他不予退还情形；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⑥中标人有下列情形之一的：</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a.除不可抗力外，因中标人自身原因未在中标通知书要求的期限内与采购人签订政府采购合同；</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b.未按照招标文件、投标文件的约定签订政府采购合同或提交履约保证金。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※若上述投标保证金不予退还情形给采购人（采购代理机构）造成损失，则投标人还要承担相应的赔偿责任。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10.10电子投标文件的提交</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（1）一个投标人只能提交一个电子投标文件，并按照招标文件第一章规定在系统上完成上传、解密操作。</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10.11电子投标文件的补充、修改或撤回</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（1）投标截止时间前，投标人可对所提交的电子投标文件进行补充、修改或撤回，并书面通知福建省承诚招标代理有限公司。</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（2）补充、修改的内容应按照本章第10.5条第（4）款规定进行签署、盖章，并按照本章第10.10条规定提交，否则将被拒收。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※按照上述规定提交的补充、修改内容作为电子投标文件组成部分。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10.12除招标文件另有规定外，有下列情形之一的，投标无效：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（1）电子投标文件未按照招标文件要求签署、盖章；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（2）不符合招标文件中规定的资格要求；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（3）投标报价超过招标文件中规定的预算金额或最高限价；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（4）电子投标文件含有采购人不能接受的附加条件；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（5）有关法律、法规和规章及招标文件规定的其他无效情形。</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11、开标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11.1福建省承诚招标代理有限公司将在招标文件载明的开标时间及地点主持召开开标会，并邀请投标人参加。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11.2开标会的主持人、唱标人、记录人及其他工作人员（若有）均由福建省承诚招标代理有限公司派出，现场监督人员（若有）可由有关方面派出。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11.4开标会应遵守下列规定：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（5）若投标人未到开标现场参加开标会，也未通过远程参加开标会的，视同认可开标结果。</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承诚招标代理有限公司提出任何疑义或要求（包括质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11.5投标截止时间后，参加投标的投标人不足三家的，不进行开标。同时，本次采购活动结束，福建省承诚招标代理有限公司将依法组织后续采购活动（包括但不限于：重新招标、采用其他方式采购等）。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11.6投标截止时间后撤销投标的处理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投标截止时间后，投标人在投标有效期内撤销投标的，其撤销投标的行为无效。</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12、中标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12.1本项目推荐的中标候选人家数：详见招标文件第二章。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12.2本项目中标人的确定：详见招标文件第二章。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12.3中标公告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（1）中标人确定之日起2个工作日内，福建省承诚招标代理有限公司将在招标文件载明的指定媒体以中标公告的形式发布中标结果。</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（2）中标公告的公告期限为1个工作日。</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12.4中标通知书</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（1）中标公告发布的同时，福建省承诚招标代理有限公司将向中标人发出中标通知书。</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（2）中标通知书发出后，采购人不得违法改变中标结果，中标人无正当理由不得放弃中标。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13、政府采购合同</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13.2签订时限：详见须知前附表1的13.2。</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13.3政府采购合同的履行、违约责任和解决争议的方法等适用民法典。</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13.4采购人与中标人应根据政府采购合同的约定依法履行合同义务。</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13.5政府采购合同履行过程中，采购人若需追加与合同标的相同的货物或服务，则追加采购金额不得超过原合同采购金额的10%。</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13.6中标人在政府采购合同履行过程中应遵守有关法律、法规和规章的强制性规定（即使前述强制性规定有可能在招标文件中未予列明）。</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14、询问</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14.1潜在投标人或投标人对本次采购活动的有关事项若有疑问，可向福建省承诚招标代理有限公司提出询问，福建省承诚招标代理有限公司将按照政府采购法及实施条例的有关规定进行答复。</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15、质疑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（2）质疑人应按照招标文件第二章规定方式提交质疑函。</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（3）质疑函应包括下列主要内容：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①质疑人的基本信息，至少包括：全称、地址、邮政编码等；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②所质疑项目的基本信息，至少包括：项目编号、项目名称等；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③所质疑的具体事项（以下简称：“质疑事项”）；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针对质疑事项提出的明确请求，前述明确请求指质疑人提出质疑的目的以及希望福建省承诚招标代理有限公司对其质疑作出的处理结果，如：暂停招标投标活动、修改招标文件、停止或纠正违法违规行为、中标结果无效、废标、重新招标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⑤针对质疑事项导致质疑人自身权益受到损害的必要证明材料，至少包括：</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a.质疑人代表的身份证明材料：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a2若本项目接受自然人投标且质疑人为自然人的，提供本人的身份证复印件。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b.其他证明材料（即事实依据和必要的法律依据）包括但不限于下列材料：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b1所质疑的具体事项是与自己有利害关系的证明材料；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b2质疑函所述事实存在的证明材料，如：采购文件、采购过程或中标结果违法违规或不符合采购文件要求等证明材料；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b3依法应终止采购程序的证明材料；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b4应重新采购的证明材料；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b5采购文件、采购过程或中标、成交结果损害自己合法权益的证明材料等；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⑥质疑人代表及其联系方法的信息，至少包括：姓名、手机、电子信箱、邮寄地址等。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⑦提出质疑的日期。</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※质疑人为法人或其他组织的，质疑函应由单位负责人或委托代理人签字或盖章，并加盖投标人的单位公章。质疑人为自然人的，质疑函应由本人签字。</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15.2对不符合本章第15.1条规定的质疑，将按照下列规定进行处理：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（1）不符合其中第（1）、（2）条规定的，书面告知质疑人不予受理及其理由。</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（2）不符合其中第（3）条规定的，书面告知质疑人修改、补充后在规定时限内重新提交质疑函。</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15.3对符合本章第15.1条规定的质疑，将按照政府采购法及实施条例、政府采购质疑和投诉办法的有关规定进行答复。</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15.4招标文件的质疑：详见招标文件第二章。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16、投诉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16.2投诉应有明确的请求和必要的证明材料，投诉的事项不得超出已质疑事项的范围。</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17、政府采购政策由财政部根据国家的经济和社会发展政策并会同国家有关部委制定，包括但不限于下列具体政策要求：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17.1进口产品指通过中国海关报关验放进入中国境内且产自关境外的产品，其中：</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（2）凡在海关特殊监管区域内企业生产或加工（包括从境外进口料件）销往境内其他地区的产品，不作为政府采购项下进口产品。</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（3）对从境外进入海关特殊监管区域，再经办理报关手续后从海关特殊监管区进入境内其他地区的产品，认定为进口产品。</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（4）招标文件列明不允许或未列明允许进口产品参加投标的，均视为拒绝进口产品参加投标。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（1）中小企业指符合下列条件的中型、小型、微型企业：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②符合中小企业划分标准的个体工商户，在政府采购活动中视同中小企业。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（2）在政府采购活动中，供应商提供的货物、工程或者服务符合下列情形的，享受本办法规定的中小企业扶持政策：</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①在货物采购项目中，货物由中小企业制造，即货物由中小企业生产且使用该中小企业商号或者注册商标；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②在工程采购项目中，工程由中小企业承建，即工程施工单位为中小企业；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③在服务采购项目中，服务由中小企业承接，即提供服务的人员为中小企业依照《中华人民共和国劳动合同法》订立劳动合同的从业人员。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在货物采购项目中，供应商提供的货物既有中小企业制造货物，也有大型企业制造货物的，不享受本办法规定的中小企业扶持政策。</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以联合体形式参加政府采购活动，联合体各方均为中小企业的，联合体视同中小企业。其中，联合体各方均为小微企业的，联合体视同小微企业。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（3）投标人应当按照招标文件明确的采购标的对应行业的划分标准出具中小企业声明函。</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①监狱企业参加采购活动时，应提供由省级以上监狱管理局、戒毒管理局（含新疆生产建设兵团）出具的属于监狱企业的证明文件。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②监狱企业视同小型、微型企业。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（5）残疾人福利性单位指同时符合下列条件的单位：</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①安置的残疾人占本单位在职职工人数的比例不低于25%（含25%），并且安置的残疾人人数不少于10人（含10人）；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②依法与安置的每位残疾人签订了一年以上（含一年）的劳动合同或服务协议；</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③为安置的每位残疾人按月足额缴纳了基本养老保险、基本医疗保险、失业保险、工伤保险和生育保险等社会保险费；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④通过银行等金融机构向安置的每位残疾人，按月支付了不低于单位所在区县适用的经省级人民政府批准的月最低工资标准的工资；</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⑤提供本单位制造的货物、承担的工程或服务，或提供其他残疾人福利性单位制造的货物（不包括使用非残疾人福利性单位注册商标的货物）。</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17.5信用记录指由财政部确定的有关网站提供的相关主体信用信息。信用记录的查询及使用应符合财政部文件（财库[2016]125号）规定。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17.6为落实政府采购政策需满足的要求：详见招标文件第一章。</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18.1指定媒体：详见招标文件第二章。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18.2本项目的潜在投标人或投标人应随时关注指定媒体，否则产生不利后果由其自行承担。</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19、其他事项：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color w:val="auto"/>
          <w:sz w:val="24"/>
          <w:szCs w:val="24"/>
        </w:rPr>
        <w:tab/>
      </w:r>
      <w:r>
        <w:rPr>
          <w:rFonts w:hint="eastAsia" w:ascii="宋体" w:hAnsi="宋体" w:eastAsia="宋体" w:cs="宋体"/>
          <w:b/>
          <w:color w:val="auto"/>
          <w:sz w:val="24"/>
          <w:szCs w:val="24"/>
        </w:rPr>
        <w:tab/>
      </w:r>
      <w:r>
        <w:rPr>
          <w:rFonts w:hint="eastAsia" w:ascii="宋体" w:hAnsi="宋体" w:eastAsia="宋体" w:cs="宋体"/>
          <w:b/>
          <w:color w:val="auto"/>
          <w:sz w:val="24"/>
          <w:szCs w:val="24"/>
        </w:rPr>
        <w:t xml:space="preserve"> 123号）规定的包装要求，其他包装需求详见招标文件具体规定。采购人、中标人双方签订合同及验收环节，应包含上述包装要求的条款。</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19.2其他：详见招标文件第二章。</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第四章 资格审查与评标</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1、开标结束后，由福建省承诚招标代理有限公司负责资格审查小组的组建及资格审查工作的组织。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1.1资格审查小组</w:t>
      </w:r>
    </w:p>
    <w:p>
      <w:pPr>
        <w:pStyle w:val="10"/>
        <w:ind w:firstLine="48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资格审查小组由3人组成，并负责具体审查事务，其中由采购人派出的采购人代表至少1人，由福建省承诚招标代理有限公司派出的工作人员至少1人，其余1人可为采购人代表或福建省承诚招标代理有限公司的工作人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1.2资格审查的依据是招标文件和电子投标文件。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1.3资格审查的范围及内容：电子投标文件（资格及资信证明部分），具体如下：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（1）“投标函”；</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（2）“投标人的资格及资信证明文件”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①一般资格证明文件：</w:t>
      </w:r>
    </w:p>
    <w:p>
      <w:pPr>
        <w:pStyle w:val="10"/>
        <w:ind w:firstLine="48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资格审查要求概况</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单位授权书</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提供财务状况报告(财务报告、或资信证明）</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4</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6</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7</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参加采购活动前三年内在经营活动中没有重大违法记录的声明</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8</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信用记录查询结果</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9</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中小企业声明函（以资格条件落实中小企业扶持政策时适用 ）</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10</w:t>
            </w:r>
          </w:p>
        </w:tc>
        <w:tc>
          <w:tcPr>
            <w:tcW w:w="3322"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联合体协议（若有）</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※备注说明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①投标人应根据自身实际情况提供上述资格要求的证明材料，格式可参考招标文件第七章提供。</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②投标人提供的相应证明材料复印件均应符合：内容完整、清晰、整洁，并由投标人加盖其单位公章。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②.其他资格证明文件：</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461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招标文件规定的其他资格证明文件（若有）</w:t>
            </w:r>
          </w:p>
        </w:tc>
        <w:tc>
          <w:tcPr>
            <w:tcW w:w="461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未按照招标文件规定提交投标保证金</w:t>
            </w:r>
          </w:p>
        </w:tc>
      </w:tr>
    </w:tbl>
    <w:p>
      <w:pPr>
        <w:pStyle w:val="10"/>
        <w:ind w:firstLine="48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2、资格审查情况不得私自外泄，有关信息由福建省承诚招标代理有限公司统一对外发布。</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3、资格审查合格的投标人不足三家的，不进行评标。同时，本次采购活动结束，福建省承诚招标代理有限公司将依法组织后续采购活动（包括但不限于：重新招标、采用其他方式采购等）。</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4、资格审查结束后，由福建省承诚招标代理有限公司负责评标委员会的组建及评标工作的组织。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5、评标委员会</w:t>
      </w:r>
    </w:p>
    <w:p>
      <w:pPr>
        <w:pStyle w:val="10"/>
        <w:ind w:firstLine="48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由采购人代表和评审专家两部分共5人组成，其中由福建省政府采购评审专家库产生的评审专家4人，由采购人派出的采购人代表1人。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5.2评标委员会负责具体评标事务，并按照下列原则依法独立履行有关职责：</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（1）评标应保护国家利益、社会公共利益和各方当事人合法权益，提高采购效益，保证项目质量。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（2）评标应遵循公平、公正、科学、严谨和择优原则。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（3）评标的依据是招标文件和电子投标文件。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（4）应按照招标文件规定推荐中标候选人或确定中标人。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（5）评标应遵守下列评标纪律：</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①评标情况不得私自外泄，有关信息由福建省承诚招标代理有限公司统一对外发布。</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②对福建省承诚招标代理有限公司或投标人提供的要求保密的资料，不得摘记翻印和外传。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③不得收受投标人或有关人员的任何礼物，不得串联鼓动其他人袒护某投标人。若与投标人存在利害关系，则应主动声明并回避。</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④全体评委应按照招标文件规定进行评标，一切认定事项应查有实据且不得弄虚作假。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⑤评标中应充分发扬民主，推荐中标候选人或确定中标人后要服从评标报告。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※对违反评标纪律的评委，将取消其评委资格，对评标工作造成严重损失者将予以通报批评乃至追究法律责任。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6、评标程序</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6.1评标前的准备工作</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（1）全体评委应认真审阅招标文件，了解评委应履行或遵守的职责、义务和评标纪律。</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6.2符合性审查</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（1）评标委员会依据招标文件的实质性要求，对通过资格审查的电子投标文件进行符合性审查，以确定其是否满足招标文件的实质性要求。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（2）满足招标文件的实质性要求指电子投标文件对招标文件实质性要求的响应不存在重大偏差或保留。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（5）评标委员会对所有投标人都执行相同的程序和标准。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（6）有下列情形之一的，符合性审查不合格：</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①项目一般情形：</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15"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4153"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15"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4153"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5"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4153"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15"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4153"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②本项目规定的其他情形：</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66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59"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6647"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647"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1、技术部分的实际得分低于技术部分总分50%的按无效投标处理。 2、投标文件的技术部分中出现报价部分的全部或部分的投标报价信息（或组成资料），按无效投标处理。 3、“投标标的”为货物的：标的说明一览表中“规格”项下应填写货物制造厂商赋予的品 牌（属于节能、环保清单产品的货物，填写的品 牌名 称应与清单载明的品 牌名 称保持一致）及具体型号。“投标标的”为服务的：标的说明一览表中“规格”项下应填写服务提供者提供的服务标准及品 牌（若有）。未按上述要求填写视为投标文件响应不完整，则符合性审查不通过，投标无效。4、不符合招标文件中规定的其它实质性要求的条款，按无效投标处理。</w:t>
            </w:r>
          </w:p>
        </w:tc>
      </w:tr>
    </w:tbl>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4"/>
        <w:gridCol w:w="6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666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4"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6662" w:type="dxa"/>
          </w:tcPr>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6.3澄清有关问题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（3）电子投标文件报价出现前后不一致的，除招标文件另有规定外，按照下列规定修正：</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①开标一览表内容与电子投标文件中相应内容不一致的，以开标一览表为准；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②大写金额和小写金额不一致的，以大写金额为准；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③单价金额小数点或百分比有明显错位的，以开标一览表的总价为准，并修改单价；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④总价金额与按照单价汇总金额不一致的，以单价金额计算结果为准。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※同时出现两种以上不一致的，按照前款规定的顺序修正。修正后的报价应按照本章第6.3条第（1）、（2）款规定经投标人确认后产生约束力，投标人不确认的，其投标无效。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（4）关于细微偏差</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②评标委员会将以书面形式要求存在细微偏差的投标人在评标委员会规定的时间内予以补正。若无法补正，则评标委员会将按照不利于投标人的内容进行认定。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（5）关于投标描述（即电子投标文件中描述的内容）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①投标描述前后不一致且不涉及证明材料的：按照本章第6.3条第（1）、（2）款规定执行。</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②投标描述与证明材料不一致或多份证明材料之间不一致的：</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a.评标委员会将要求投标人进行书面澄清，并按照不利于投标人的内容进行评标。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6.4比较与评价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（1）按照本章第7条载明的评标方法和标准，对符合性审查合格的电子投标文件进行比较与评价。</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（2）关于相同品牌产品（政府采购服务类项目不适用本条款规定）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a.招标文件规定的方式：</w:t>
      </w:r>
    </w:p>
    <w:p>
      <w:pPr>
        <w:pStyle w:val="10"/>
        <w:ind w:firstLine="48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b.招标文件未规定的，采取随机抽取方式确定，其他投标无效。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a.招标文件规定的方式：</w:t>
      </w:r>
    </w:p>
    <w:p>
      <w:pPr>
        <w:pStyle w:val="10"/>
        <w:ind w:firstLine="48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b.招标文件未规定的，采取随机抽取方式确定，其他同品牌投标人不作为中标候选人。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③非单一产品采购项目，多家投标人提供的核心产品品牌相同的，按照本章第6.4条第（2）款第①、②规定处理。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（3）漏（缺）项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①招标文件中要求列入报价的费用（含配置、功能），漏（缺）项的报价视为已经包括在投标总价中。</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②对多报项及赠送项的价格评标时不予核减，全部进入评标价评议。</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6.5推荐中标候选人：详见本章第7.2条规定。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6.6编写评标报告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（1）评标报告由评标委员会负责编写。</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（2）评标报告应包括下列内容：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①招标公告刊登的媒体名称、开标日期和地点；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②投标人名单和评标委员会成员名单；</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③评标方法和标准；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④开标记录和评标情况及说明，包括无效投标人名单及原因；</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⑤评标结果，包括中标候选人名单或确定的中标人；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⑥其他需要说明的情况，包括但不限于：评标过程中投标人的澄清、说明或补正，评委更换等。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6.9在评标过程中发现投标人有下列情形之一的，评标委员会应认定其投标无效，并书面报告本项目监督管理部门：</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（1）恶意串通（包括但不限于招标文件第三章第9.7条规定情形）；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（2）妨碍其他投标人的竞争行为；</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（3）损害采购人或其他投标人的合法权益。</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6.10评标过程中，有下列情形之一的，应予废标：</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（1）符合性审查合格的投标人不足三家的；</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（2）有关法律、法规和规章规定废标的情形。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※若废标，则本次采购活动结束，福建省承诚招标代理有限公司将依法组织后续采购活动（包括但不限于：重新招标、采用其他方式采购等）。</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7、评标方法和标准</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7.1评标方法：</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采购包1：综合评分法</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7.2评标标准</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采购包1：综合评分法</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（1）投标文件满足招标文件全部实质性要求，且按照评审因素的量化指标评审得分（即评标总得分）最高的投标人为中标候选人。</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各项评审因素的设置如下：</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价格项（F1×A1）满分为30.00分</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价格扣除的规则如下：</w:t>
      </w:r>
    </w:p>
    <w:p>
      <w:pPr>
        <w:pStyle w:val="10"/>
        <w:jc w:val="both"/>
        <w:rPr>
          <w:rFonts w:hint="eastAsia" w:ascii="宋体" w:hAnsi="宋体" w:eastAsia="宋体" w:cs="宋体"/>
          <w:b/>
          <w:color w:val="auto"/>
          <w:sz w:val="24"/>
          <w:szCs w:val="24"/>
        </w:rPr>
      </w:pPr>
    </w:p>
    <w:p>
      <w:pPr>
        <w:pStyle w:val="10"/>
        <w:jc w:val="both"/>
        <w:rPr>
          <w:rFonts w:hint="eastAsia" w:ascii="宋体" w:hAnsi="宋体" w:eastAsia="宋体" w:cs="宋体"/>
          <w:b/>
          <w:color w:val="auto"/>
          <w:sz w:val="24"/>
          <w:szCs w:val="24"/>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4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适用对象</w:t>
            </w:r>
          </w:p>
        </w:tc>
        <w:tc>
          <w:tcPr>
            <w:tcW w:w="83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比例</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小型、微型企业，监狱企业，残疾人福利性单位</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投标人或者联合体均为小型、微型企业</w:t>
            </w:r>
          </w:p>
        </w:tc>
        <w:tc>
          <w:tcPr>
            <w:tcW w:w="831"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15.00%</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财政部、工业和信息化部关于印发&lt;政府采购促进中小企业发展管理办法&gt;的通知》（财库〔2020〕46号）文件第九条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5%），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2%）。（3）大中型企业向小微企业分包的，可给予价格扣除（货物或服务给予5%，工程项目2%）。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5%））；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其他：无</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技术项（F2×A2）满分为60.00分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9"/>
        <w:gridCol w:w="930"/>
        <w:gridCol w:w="52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9"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93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分值</w:t>
            </w:r>
          </w:p>
        </w:tc>
        <w:tc>
          <w:tcPr>
            <w:tcW w:w="520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9"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1、技术响应情况</w:t>
            </w:r>
          </w:p>
        </w:tc>
        <w:tc>
          <w:tcPr>
            <w:tcW w:w="930"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57.00</w:t>
            </w:r>
          </w:p>
        </w:tc>
        <w:tc>
          <w:tcPr>
            <w:tcW w:w="520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根据投标人对招标文件“第五章 招标内容及要求”中“二、技术和服务要求”中各项要求响应情况进行评审；投标人响应文件对招标文件要求中招标内容及要求的逐项响应应答：带★标示的技术参数（按评审指标计，带★标示的共计</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项）为不允许负偏离的实质性要求，若出现负偏离的情况，按无效投标处理。技术参数完全满足招标文件要求的得</w:t>
            </w: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分；其中带▲标示为重要技术参数，▲号每负偏离一项扣</w:t>
            </w:r>
            <w:r>
              <w:rPr>
                <w:rFonts w:hint="eastAsia" w:ascii="宋体" w:hAnsi="宋体" w:eastAsia="宋体" w:cs="宋体"/>
                <w:color w:val="auto"/>
                <w:sz w:val="24"/>
                <w:szCs w:val="24"/>
                <w:lang w:val="en-US" w:eastAsia="zh-CN"/>
              </w:rPr>
              <w:t>2.25</w:t>
            </w:r>
            <w:r>
              <w:rPr>
                <w:rFonts w:hint="eastAsia" w:ascii="宋体" w:hAnsi="宋体" w:eastAsia="宋体" w:cs="宋体"/>
                <w:color w:val="auto"/>
                <w:sz w:val="24"/>
                <w:szCs w:val="24"/>
              </w:rPr>
              <w:t>分(按评审指标计，带▲技术参数共计</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项，带▲技术参数全部满足的得</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分）；其余未带▲标示或未带★标示的技术参数的每负偏离扣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分((按评审指标计，未带▲标示或未带★标示的技术参数共计</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项，未带▲技术参数全部满足的得</w:t>
            </w: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分），扣完为止，满分</w:t>
            </w: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分。【注：①投标人必须根据该评审内容，对照招标文件的要求逐项进行应答，如实说明正、负偏离情况，否则，有可能做出不利于投标人的评判（负偏离）。②正偏离不加分。】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9"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2、产品质量及供货保障</w:t>
            </w:r>
          </w:p>
        </w:tc>
        <w:tc>
          <w:tcPr>
            <w:tcW w:w="930"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3.00</w:t>
            </w:r>
          </w:p>
        </w:tc>
        <w:tc>
          <w:tcPr>
            <w:tcW w:w="520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各投标人所投产品质量保障以及供货渠道来源是否正规且能得到有效保障等情况方案说明进行评分：提供的方案详细完整、内容清晰具体、与本项目情况相符的得3分；提供的方案较详细完整、内容基本符合项目情况的得2分；提供的方案不周全、内容简单、内容基本符合项目情况的得1分；未提供的不得分。</w:t>
            </w:r>
          </w:p>
        </w:tc>
      </w:tr>
    </w:tbl>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商务项（F3×A3）满分为10.00分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4"/>
        <w:gridCol w:w="1035"/>
        <w:gridCol w:w="58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1035"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分值</w:t>
            </w:r>
          </w:p>
        </w:tc>
        <w:tc>
          <w:tcPr>
            <w:tcW w:w="586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1、业绩</w:t>
            </w:r>
          </w:p>
        </w:tc>
        <w:tc>
          <w:tcPr>
            <w:tcW w:w="1035" w:type="dxa"/>
          </w:tcPr>
          <w:p>
            <w:pPr>
              <w:pStyle w:val="10"/>
              <w:jc w:val="center"/>
              <w:rPr>
                <w:rFonts w:hint="eastAsia" w:ascii="宋体" w:hAnsi="宋体" w:eastAsia="宋体" w:cs="宋体"/>
                <w:color w:val="auto"/>
                <w:sz w:val="24"/>
                <w:szCs w:val="24"/>
              </w:rPr>
            </w:pPr>
            <w:r>
              <w:rPr>
                <w:rFonts w:hint="eastAsia" w:ascii="宋体" w:hAnsi="宋体" w:eastAsia="宋体" w:cs="宋体"/>
                <w:b/>
                <w:color w:val="auto"/>
                <w:sz w:val="24"/>
                <w:szCs w:val="24"/>
              </w:rPr>
              <w:t>3.00</w:t>
            </w:r>
          </w:p>
        </w:tc>
        <w:tc>
          <w:tcPr>
            <w:tcW w:w="586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根据投标人提供20</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年1月1日起至本项目投标截止时间止(日期以验收报告为准)同类产品项目业绩情况进行评分，每提供1份成功同类业绩的得1分，满分3分。[投标人应如实提供该业绩项目的中标公告（提供相关网站中标公告的下载网页并注明网址）、中标通知书复印件、采购合同文本复印件，以及能够证明该业绩项目已经采购人验收合格的相关证明文件复印件（原件备查），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2、质保期承诺</w:t>
            </w:r>
          </w:p>
        </w:tc>
        <w:tc>
          <w:tcPr>
            <w:tcW w:w="1035"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3.00</w:t>
            </w:r>
          </w:p>
        </w:tc>
        <w:tc>
          <w:tcPr>
            <w:tcW w:w="586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根据各投标人的质保期时间承诺:满足招标文件要求的不得分，不增加费用的情况下所有设备同时每增加一年加1分，满分3分。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3、售后服务情况</w:t>
            </w:r>
          </w:p>
        </w:tc>
        <w:tc>
          <w:tcPr>
            <w:tcW w:w="1035"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2.00</w:t>
            </w:r>
          </w:p>
        </w:tc>
        <w:tc>
          <w:tcPr>
            <w:tcW w:w="586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各投标人针对本项目所提供的售后服务方案，包括但不限于①具体的售后服务内容；②维修响应时间及方式；③售后服务机构、专业人员配备情况及现有维修服务能力、备品备件；④质保期后维修服务的项目及费用承诺情况进行评分：能完整提供以上所有内容且内容详细具体、符合本项目需求的得满分2分；能完整提供以上所有内容但内容较简单、符合本项目需求的得1分；仅能提供以上部分内容的得0.5分。提供的方案不符合本项目需求的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4、技术培训 方案</w:t>
            </w:r>
          </w:p>
        </w:tc>
        <w:tc>
          <w:tcPr>
            <w:tcW w:w="1035"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2.00</w:t>
            </w:r>
          </w:p>
        </w:tc>
        <w:tc>
          <w:tcPr>
            <w:tcW w:w="586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根据各投标人提供的针对本项目制定的现场技术培训方案情况进行评分，现场技术培训方案包含：①培训计划；②培训范围；③实施及针对性措施；④保证培训成效的措施。现场技术培训方案包含上述全部内容且方案详细具体的得2分，现场技术培训方案包含上述全部内容但内容较简单的得1分，现场技术培训方案中仅包含部分上述内容的得0.5分，其余不得分，未提供的本项不得分。</w:t>
            </w:r>
          </w:p>
        </w:tc>
      </w:tr>
    </w:tbl>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加分项（F4×A4）</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4"/>
        <w:gridCol w:w="705"/>
        <w:gridCol w:w="5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项目</w:t>
            </w:r>
          </w:p>
        </w:tc>
        <w:tc>
          <w:tcPr>
            <w:tcW w:w="70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分值</w:t>
            </w:r>
          </w:p>
        </w:tc>
        <w:tc>
          <w:tcPr>
            <w:tcW w:w="562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节能、环境标志产品</w:t>
            </w:r>
          </w:p>
        </w:tc>
        <w:tc>
          <w:tcPr>
            <w:tcW w:w="705" w:type="dxa"/>
          </w:tcPr>
          <w:p>
            <w:pPr>
              <w:pStyle w:val="10"/>
              <w:jc w:val="right"/>
              <w:rPr>
                <w:rFonts w:hint="eastAsia" w:ascii="宋体" w:hAnsi="宋体" w:eastAsia="宋体" w:cs="宋体"/>
                <w:color w:val="auto"/>
                <w:sz w:val="24"/>
                <w:szCs w:val="24"/>
              </w:rPr>
            </w:pPr>
            <w:r>
              <w:rPr>
                <w:rFonts w:hint="eastAsia" w:ascii="宋体" w:hAnsi="宋体" w:eastAsia="宋体" w:cs="宋体"/>
                <w:b/>
                <w:color w:val="auto"/>
                <w:sz w:val="24"/>
                <w:szCs w:val="24"/>
              </w:rPr>
              <w:t>7.20</w:t>
            </w:r>
          </w:p>
        </w:tc>
        <w:tc>
          <w:tcPr>
            <w:tcW w:w="5627"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（4）中标候选人排列规则顺序如下：</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a.按照评标总得分（FA）由高到低顺序排列。</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b.评标总得分（FA）相同的，按照评标价（即价格扣除后的投标报价）由低到高顺序排列。</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c.评标总得分（FA）且评标价（即价格扣除后的投标报价）相同的并列。</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8、其他规定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8.1评标应全程保密且不得透露给任一投标人或与评标工作无关的人员。</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8.2评标将进行全程实时录音录像，录音录像资料随采购文件一并存档。</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8.4其他：无</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1"/>
        <w:rPr>
          <w:rFonts w:hint="eastAsia" w:ascii="宋体" w:hAnsi="宋体" w:eastAsia="宋体" w:cs="宋体"/>
          <w:color w:val="auto"/>
          <w:sz w:val="24"/>
          <w:szCs w:val="24"/>
        </w:rPr>
      </w:pPr>
      <w:r>
        <w:rPr>
          <w:rFonts w:hint="eastAsia" w:ascii="宋体" w:hAnsi="宋体" w:eastAsia="宋体" w:cs="宋体"/>
          <w:b/>
          <w:color w:val="auto"/>
          <w:sz w:val="32"/>
          <w:szCs w:val="32"/>
        </w:rPr>
        <w:t>第五章 招标内容及要求</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本项目为</w:t>
      </w:r>
      <w:r>
        <w:rPr>
          <w:rFonts w:hint="eastAsia" w:ascii="宋体" w:hAnsi="宋体" w:eastAsia="宋体" w:cs="宋体"/>
          <w:b/>
          <w:color w:val="auto"/>
          <w:sz w:val="24"/>
          <w:szCs w:val="24"/>
          <w:lang w:eastAsia="zh-CN"/>
        </w:rPr>
        <w:t>福建省立医院骨科手术显微镜采购项目</w:t>
      </w:r>
      <w:r>
        <w:rPr>
          <w:rFonts w:hint="eastAsia" w:ascii="宋体" w:hAnsi="宋体" w:eastAsia="宋体" w:cs="宋体"/>
          <w:b/>
          <w:color w:val="auto"/>
          <w:sz w:val="24"/>
          <w:szCs w:val="24"/>
        </w:rPr>
        <w:t>。</w:t>
      </w: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用途：主要用于骨显微手术区域照明和放大并支持手术过程中的观察功能。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光学部分</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ascii="宋体" w:hAnsi="宋体" w:eastAsia="宋体" w:cs="宋体"/>
          <w:color w:val="auto"/>
          <w:sz w:val="24"/>
          <w:szCs w:val="24"/>
        </w:rPr>
        <w:t>2.1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光学：全镜组复消色差APO，光学镀膜保护；</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工作距离：最小工作距离≤205mm，最大工作距离≥600mm，且可在单一物镜下连续变焦； </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w:t>
      </w: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放大倍数：最小放大倍数≤2.0x，最大放大倍数≥16.2x（12.5x目镜下）；可通过变倍器扩展到最大40倍的放大倍数</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color w:val="auto"/>
          <w:sz w:val="24"/>
          <w:szCs w:val="24"/>
        </w:rPr>
        <w:t>2.4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变焦模式：电动连续变焦（速度可调），同时在主镜上配备手动精细调焦；</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w:t>
      </w:r>
      <w:r>
        <w:rPr>
          <w:rFonts w:hint="eastAsia" w:ascii="宋体" w:hAnsi="宋体" w:eastAsia="宋体" w:cs="宋体"/>
          <w:color w:val="auto"/>
          <w:sz w:val="24"/>
          <w:szCs w:val="24"/>
        </w:rPr>
        <w:t>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定位锁焦功能：在200-600mm工作距离范围内，可任意改变观察角度和观察距离，始终保持视场中心清晰、不失焦；</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w:t>
      </w:r>
      <w:r>
        <w:rPr>
          <w:rFonts w:hint="eastAsia" w:ascii="宋体" w:hAnsi="宋体" w:eastAsia="宋体" w:cs="宋体"/>
          <w:color w:val="auto"/>
          <w:sz w:val="24"/>
          <w:szCs w:val="24"/>
        </w:rPr>
        <w:t>2.6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双激光自动对焦：全内置设计，无需外挂模块，最大功率&lt;1mW，波长635-645nm</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w:t>
      </w:r>
      <w:r>
        <w:rPr>
          <w:rFonts w:hint="eastAsia" w:ascii="宋体" w:hAnsi="宋体" w:eastAsia="宋体" w:cs="宋体"/>
          <w:color w:val="auto"/>
          <w:sz w:val="24"/>
          <w:szCs w:val="24"/>
        </w:rPr>
        <w:t>2.7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主刀镜：具备一键放大功能，视野下图像放大≥50%；</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w:t>
      </w:r>
      <w:r>
        <w:rPr>
          <w:rFonts w:hint="eastAsia" w:ascii="宋体" w:hAnsi="宋体" w:eastAsia="宋体" w:cs="宋体"/>
          <w:color w:val="auto"/>
          <w:sz w:val="24"/>
          <w:szCs w:val="24"/>
        </w:rPr>
        <w:t>2.8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目镜：广角目镜，眼杯高度可调，10x或12.5x可选；屈光补偿范围≥+5D至-6D；</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镜内投射功能：可以把导航图像、显微镜参数、荧光造影影像等投射到目镜内，便于术中观察</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照明部分</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w:t>
      </w:r>
      <w:r>
        <w:rPr>
          <w:rFonts w:hint="eastAsia" w:ascii="宋体" w:hAnsi="宋体" w:eastAsia="宋体" w:cs="宋体"/>
          <w:color w:val="auto"/>
          <w:sz w:val="24"/>
          <w:szCs w:val="24"/>
        </w:rPr>
        <w:t>3.1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光源：主光源与备用光源皆为≤300W氙灯，集成化设计无外挂，主、备用光源可一键切换，并有氙灯寿命显示；</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w:t>
      </w:r>
      <w:r>
        <w:rPr>
          <w:rFonts w:hint="eastAsia" w:ascii="宋体" w:hAnsi="宋体" w:eastAsia="宋体" w:cs="宋体"/>
          <w:color w:val="auto"/>
          <w:sz w:val="24"/>
          <w:szCs w:val="24"/>
        </w:rPr>
        <w:t>3.2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光斑调节：后备手动光斑调节旋钮，可根据不同手术需要做连续无级调节</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rPr>
        <w:t>】</w:t>
      </w:r>
      <w:r>
        <w:rPr>
          <w:rFonts w:hint="eastAsia" w:ascii="宋体" w:hAnsi="宋体" w:eastAsia="宋体" w:cs="宋体"/>
          <w:color w:val="auto"/>
          <w:sz w:val="24"/>
          <w:szCs w:val="24"/>
        </w:rPr>
        <w:t>▲3.3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辅助照明：除主照明外，提供侧向补光辅助照明，解决深腔手术区域照明阴影的问题，可单独开关</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支架部分</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w:t>
      </w:r>
      <w:r>
        <w:rPr>
          <w:rFonts w:hint="eastAsia" w:ascii="宋体" w:hAnsi="宋体" w:eastAsia="宋体" w:cs="宋体"/>
          <w:color w:val="auto"/>
          <w:sz w:val="24"/>
          <w:szCs w:val="24"/>
        </w:rPr>
        <w:t>4.1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四连杆反重力平衡支架</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15</w:t>
      </w:r>
      <w:r>
        <w:rPr>
          <w:rFonts w:hint="eastAsia" w:ascii="宋体" w:hAnsi="宋体" w:eastAsia="宋体" w:cs="宋体"/>
          <w:b/>
          <w:color w:val="auto"/>
          <w:sz w:val="24"/>
          <w:szCs w:val="24"/>
        </w:rPr>
        <w:t>】</w:t>
      </w:r>
      <w:r>
        <w:rPr>
          <w:rFonts w:hint="eastAsia" w:ascii="宋体" w:hAnsi="宋体" w:eastAsia="宋体" w:cs="宋体"/>
          <w:color w:val="auto"/>
          <w:sz w:val="24"/>
          <w:szCs w:val="24"/>
        </w:rPr>
        <w:t>▲4.2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平衡调校方式：无需分步或多次操作，通过机器人平衡系统一键式全自动平衡四连杆支架；</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16</w:t>
      </w:r>
      <w:r>
        <w:rPr>
          <w:rFonts w:hint="eastAsia" w:ascii="宋体" w:hAnsi="宋体" w:eastAsia="宋体" w:cs="宋体"/>
          <w:b/>
          <w:color w:val="auto"/>
          <w:sz w:val="24"/>
          <w:szCs w:val="24"/>
        </w:rPr>
        <w:t>】</w:t>
      </w:r>
      <w:r>
        <w:rPr>
          <w:rFonts w:hint="eastAsia" w:ascii="宋体" w:hAnsi="宋体" w:eastAsia="宋体" w:cs="宋体"/>
          <w:color w:val="auto"/>
          <w:sz w:val="24"/>
          <w:szCs w:val="24"/>
        </w:rPr>
        <w:t>▲4.3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定位记忆功能：可精确记忆多个支架工作位置，并可精准复位到该记忆位置，还原手术视野至相同的工作距离、放大倍数等；</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w:t>
      </w:r>
      <w:r>
        <w:rPr>
          <w:rFonts w:hint="eastAsia" w:ascii="宋体" w:hAnsi="宋体" w:eastAsia="宋体" w:cs="宋体"/>
          <w:color w:val="auto"/>
          <w:sz w:val="24"/>
          <w:szCs w:val="24"/>
        </w:rPr>
        <w:t>4.4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智能停放功能：可通过手柄或脚踏智能归位，确保每次关机前自动归位到相同的标准待机位置；</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18</w:t>
      </w:r>
      <w:r>
        <w:rPr>
          <w:rFonts w:hint="eastAsia" w:ascii="宋体" w:hAnsi="宋体" w:eastAsia="宋体" w:cs="宋体"/>
          <w:b/>
          <w:color w:val="auto"/>
          <w:sz w:val="24"/>
          <w:szCs w:val="24"/>
        </w:rPr>
        <w:t>】</w:t>
      </w:r>
      <w:r>
        <w:rPr>
          <w:rFonts w:hint="eastAsia" w:ascii="宋体" w:hAnsi="宋体" w:eastAsia="宋体" w:cs="宋体"/>
          <w:color w:val="auto"/>
          <w:sz w:val="24"/>
          <w:szCs w:val="24"/>
        </w:rPr>
        <w:t>4.5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集成化手柄：左右对称，万向关节，可通过触控屏个性化设置各个按钮功能，如：拍照、录像、自动对焦、荧光开关/回放、景深切换等功能；</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rPr>
        <w:t>】</w:t>
      </w:r>
      <w:r>
        <w:rPr>
          <w:rFonts w:hint="eastAsia" w:ascii="宋体" w:hAnsi="宋体" w:eastAsia="宋体" w:cs="宋体"/>
          <w:color w:val="auto"/>
          <w:sz w:val="24"/>
          <w:szCs w:val="24"/>
        </w:rPr>
        <w:t>4.6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智能消毒罩设计：具有消毒罩抽真空功能，避免无菌罩术中下坠造成的视野遮挡和污染风险，保证手术安全；</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w:t>
      </w:r>
      <w:r>
        <w:rPr>
          <w:rFonts w:hint="eastAsia" w:ascii="宋体" w:hAnsi="宋体" w:eastAsia="宋体" w:cs="宋体"/>
          <w:color w:val="auto"/>
          <w:sz w:val="24"/>
          <w:szCs w:val="24"/>
        </w:rPr>
        <w:t>4.7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支架限位保护：支架最低限位设计， 距离地面一定高度支架锁定，防止意外跌落，充分保证病人安全；</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21</w:t>
      </w:r>
      <w:r>
        <w:rPr>
          <w:rFonts w:hint="eastAsia" w:ascii="宋体" w:hAnsi="宋体" w:eastAsia="宋体" w:cs="宋体"/>
          <w:b/>
          <w:color w:val="auto"/>
          <w:sz w:val="24"/>
          <w:szCs w:val="24"/>
        </w:rPr>
        <w:t>】</w:t>
      </w:r>
      <w:r>
        <w:rPr>
          <w:rFonts w:hint="eastAsia" w:ascii="宋体" w:hAnsi="宋体" w:eastAsia="宋体" w:cs="宋体"/>
          <w:color w:val="auto"/>
          <w:sz w:val="24"/>
          <w:szCs w:val="24"/>
        </w:rPr>
        <w:t>▲4.8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支架占地面积：≥820mm×820mm；支架最大水平伸展范围：≥16</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影像系统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3D超高清摄像系统</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22</w:t>
      </w:r>
      <w:r>
        <w:rPr>
          <w:rFonts w:hint="eastAsia" w:ascii="宋体" w:hAnsi="宋体" w:eastAsia="宋体" w:cs="宋体"/>
          <w:b/>
          <w:color w:val="auto"/>
          <w:sz w:val="24"/>
          <w:szCs w:val="24"/>
        </w:rPr>
        <w:t>】</w:t>
      </w:r>
      <w:r>
        <w:rPr>
          <w:rFonts w:hint="eastAsia" w:ascii="宋体" w:hAnsi="宋体" w:eastAsia="宋体" w:cs="宋体"/>
          <w:color w:val="auto"/>
          <w:sz w:val="24"/>
          <w:szCs w:val="24"/>
        </w:rPr>
        <w:t>5.1.1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3D超高清摄像头：原厂全内置设计，无外露分光器和摄像接口</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23</w:t>
      </w:r>
      <w:r>
        <w:rPr>
          <w:rFonts w:hint="eastAsia" w:ascii="宋体" w:hAnsi="宋体" w:eastAsia="宋体" w:cs="宋体"/>
          <w:b/>
          <w:color w:val="auto"/>
          <w:sz w:val="24"/>
          <w:szCs w:val="24"/>
        </w:rPr>
        <w:t>】</w:t>
      </w:r>
      <w:r>
        <w:rPr>
          <w:rFonts w:hint="eastAsia" w:ascii="宋体" w:hAnsi="宋体" w:eastAsia="宋体" w:cs="宋体"/>
          <w:color w:val="auto"/>
          <w:sz w:val="24"/>
          <w:szCs w:val="24"/>
        </w:rPr>
        <w:t>5.1.2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3D高清监视器：第二块为≥24英寸3D高清监视器，≥16：9；</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24</w:t>
      </w:r>
      <w:r>
        <w:rPr>
          <w:rFonts w:hint="eastAsia" w:ascii="宋体" w:hAnsi="宋体" w:eastAsia="宋体" w:cs="宋体"/>
          <w:b/>
          <w:color w:val="auto"/>
          <w:sz w:val="24"/>
          <w:szCs w:val="24"/>
        </w:rPr>
        <w:t>】</w:t>
      </w:r>
      <w:r>
        <w:rPr>
          <w:rFonts w:hint="eastAsia" w:ascii="宋体" w:hAnsi="宋体" w:eastAsia="宋体" w:cs="宋体"/>
          <w:color w:val="auto"/>
          <w:sz w:val="24"/>
          <w:szCs w:val="24"/>
        </w:rPr>
        <w:t xml:space="preserve">5.1.3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外置 3D超高清显示器：带一体化移动式推车；具有视频记录功能</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术中血管荧光模块</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25</w:t>
      </w:r>
      <w:r>
        <w:rPr>
          <w:rFonts w:hint="eastAsia" w:ascii="宋体" w:hAnsi="宋体" w:eastAsia="宋体" w:cs="宋体"/>
          <w:b/>
          <w:color w:val="auto"/>
          <w:sz w:val="24"/>
          <w:szCs w:val="24"/>
        </w:rPr>
        <w:t>】</w:t>
      </w:r>
      <w:r>
        <w:rPr>
          <w:rFonts w:hint="eastAsia" w:ascii="宋体" w:hAnsi="宋体" w:eastAsia="宋体" w:cs="宋体"/>
          <w:color w:val="auto"/>
          <w:sz w:val="24"/>
          <w:szCs w:val="24"/>
        </w:rPr>
        <w:t>★6.1</w:t>
      </w:r>
      <w:r>
        <w:rPr>
          <w:rFonts w:hint="eastAsia" w:ascii="宋体" w:hAnsi="宋体" w:eastAsia="宋体" w:cs="宋体"/>
          <w:color w:val="auto"/>
          <w:sz w:val="24"/>
          <w:szCs w:val="24"/>
          <w:lang w:eastAsia="zh-CN"/>
        </w:rPr>
        <w:t>、具备</w:t>
      </w:r>
      <w:r>
        <w:rPr>
          <w:rFonts w:hint="eastAsia" w:ascii="宋体" w:hAnsi="宋体" w:eastAsia="宋体" w:cs="宋体"/>
          <w:color w:val="auto"/>
          <w:sz w:val="24"/>
          <w:szCs w:val="24"/>
        </w:rPr>
        <w:t>血管荧光造影模块</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26</w:t>
      </w:r>
      <w:r>
        <w:rPr>
          <w:rFonts w:hint="eastAsia" w:ascii="宋体" w:hAnsi="宋体" w:eastAsia="宋体" w:cs="宋体"/>
          <w:b/>
          <w:color w:val="auto"/>
          <w:sz w:val="24"/>
          <w:szCs w:val="24"/>
        </w:rPr>
        <w:t>】</w:t>
      </w: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造影剂：吲哚菁绿</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27</w:t>
      </w:r>
      <w:r>
        <w:rPr>
          <w:rFonts w:hint="eastAsia" w:ascii="宋体" w:hAnsi="宋体" w:eastAsia="宋体" w:cs="宋体"/>
          <w:b/>
          <w:color w:val="auto"/>
          <w:sz w:val="24"/>
          <w:szCs w:val="24"/>
        </w:rPr>
        <w:t>】</w:t>
      </w: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内置模块：整体荧光模块全内置，不占分光器接口，不影响助手镜对换；</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28</w:t>
      </w:r>
      <w:r>
        <w:rPr>
          <w:rFonts w:hint="eastAsia" w:ascii="宋体" w:hAnsi="宋体" w:eastAsia="宋体" w:cs="宋体"/>
          <w:b/>
          <w:color w:val="auto"/>
          <w:sz w:val="24"/>
          <w:szCs w:val="24"/>
        </w:rPr>
        <w:t>】</w:t>
      </w:r>
      <w:r>
        <w:rPr>
          <w:rFonts w:hint="eastAsia" w:ascii="宋体" w:hAnsi="宋体" w:eastAsia="宋体" w:cs="宋体"/>
          <w:color w:val="auto"/>
          <w:sz w:val="24"/>
          <w:szCs w:val="24"/>
        </w:rPr>
        <w:t>6.4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启动模式：可通过手柄按钮一键启动或触控屏启动；</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29</w:t>
      </w:r>
      <w:r>
        <w:rPr>
          <w:rFonts w:hint="eastAsia" w:ascii="宋体" w:hAnsi="宋体" w:eastAsia="宋体" w:cs="宋体"/>
          <w:b/>
          <w:color w:val="auto"/>
          <w:sz w:val="24"/>
          <w:szCs w:val="24"/>
        </w:rPr>
        <w:t>】</w:t>
      </w:r>
      <w:r>
        <w:rPr>
          <w:rFonts w:hint="eastAsia" w:ascii="宋体" w:hAnsi="宋体" w:eastAsia="宋体" w:cs="宋体"/>
          <w:color w:val="auto"/>
          <w:sz w:val="24"/>
          <w:szCs w:val="24"/>
        </w:rPr>
        <w:t>▲6.5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影像品质：全高清，≥1920×1080p，可同时输出至外部监视器；</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rPr>
        <w:t>】</w:t>
      </w:r>
      <w:r>
        <w:rPr>
          <w:rFonts w:hint="eastAsia" w:ascii="宋体" w:hAnsi="宋体" w:eastAsia="宋体" w:cs="宋体"/>
          <w:color w:val="auto"/>
          <w:sz w:val="24"/>
          <w:szCs w:val="24"/>
        </w:rPr>
        <w:t>6.6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自动增益：荧光亮度增益智能控制，确保术中成像效果清晰可见；自动侦测：记录荧光影像自动捕获、视频自动记录功能；自动回放：通过自定义集成化手柄可进行自动回放图像；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31</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有增强现实荧光功能，将血管荧光造影与实时图像叠加融合，呈现彩色荧光造影的同时，可实时看到自然色彩的组织和解剖结构；</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32</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叠加融合的图像投射于目镜下，实现无中断的手术流程</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智能导航连接</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33</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导航图像镜内投射：可以把导航图像投射到目镜内，便于术中观察；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34</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有开放的导航连接界面，可呈现三维立体镜内投射图像；</w:t>
      </w:r>
    </w:p>
    <w:p>
      <w:pPr>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35</w:t>
      </w:r>
      <w:r>
        <w:rPr>
          <w:rFonts w:hint="eastAsia" w:ascii="宋体" w:hAnsi="宋体" w:eastAsia="宋体" w:cs="宋体"/>
          <w:b/>
          <w:color w:val="auto"/>
          <w:sz w:val="24"/>
          <w:szCs w:val="24"/>
        </w:rPr>
        <w:t>】</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导航与手术显微镜之间可实现的智能联动与相互控制，联动的层面不仅局限于机头，而是整机的全面联动</w:t>
      </w:r>
      <w:r>
        <w:rPr>
          <w:rFonts w:hint="eastAsia" w:ascii="宋体" w:hAnsi="宋体" w:eastAsia="宋体" w:cs="宋体"/>
          <w:color w:val="auto"/>
          <w:sz w:val="24"/>
          <w:szCs w:val="24"/>
          <w:highlight w:val="none"/>
          <w:lang w:eastAsia="zh-CN"/>
        </w:rPr>
        <w:t>。</w:t>
      </w:r>
    </w:p>
    <w:p>
      <w:pPr>
        <w:spacing w:after="156" w:afterLines="50"/>
        <w:rPr>
          <w:rFonts w:hint="default"/>
          <w:color w:val="auto"/>
          <w:sz w:val="24"/>
          <w:lang w:val="en-US" w:eastAsia="zh-CN"/>
        </w:rPr>
      </w:pPr>
      <w:r>
        <w:rPr>
          <w:rFonts w:hint="eastAsia" w:ascii="宋体" w:hAnsi="宋体" w:eastAsia="宋体" w:cs="宋体"/>
          <w:b/>
          <w:color w:val="auto"/>
          <w:sz w:val="24"/>
          <w:szCs w:val="24"/>
        </w:rPr>
        <w:t>【评审指标</w:t>
      </w:r>
      <w:r>
        <w:rPr>
          <w:rFonts w:hint="eastAsia" w:ascii="宋体" w:hAnsi="宋体" w:eastAsia="宋体" w:cs="宋体"/>
          <w:b/>
          <w:color w:val="auto"/>
          <w:sz w:val="24"/>
          <w:szCs w:val="24"/>
          <w:lang w:val="en-US" w:eastAsia="zh-CN"/>
        </w:rPr>
        <w:t>36</w:t>
      </w:r>
      <w:r>
        <w:rPr>
          <w:rFonts w:hint="eastAsia" w:ascii="宋体" w:hAnsi="宋体" w:eastAsia="宋体" w:cs="宋体"/>
          <w:b/>
          <w:color w:val="auto"/>
          <w:sz w:val="24"/>
          <w:szCs w:val="24"/>
        </w:rPr>
        <w:t>】</w:t>
      </w:r>
      <w:r>
        <w:rPr>
          <w:rFonts w:hint="eastAsia"/>
          <w:color w:val="auto"/>
          <w:sz w:val="24"/>
          <w:lang w:val="en-US" w:eastAsia="zh-CN"/>
        </w:rPr>
        <w:t>8、配置清单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95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pacing w:val="-8"/>
                <w:sz w:val="24"/>
                <w:szCs w:val="24"/>
                <w:lang w:eastAsia="zh-CN"/>
              </w:rPr>
              <w:t>一</w:t>
            </w:r>
            <w:r>
              <w:rPr>
                <w:rFonts w:hint="eastAsia" w:ascii="宋体" w:hAnsi="宋体" w:eastAsia="宋体" w:cs="宋体"/>
                <w:color w:val="auto"/>
                <w:spacing w:val="-8"/>
                <w:sz w:val="24"/>
                <w:szCs w:val="24"/>
              </w:rPr>
              <w:t>体化主镜</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180度主刀镜</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pacing w:val="-8"/>
                <w:sz w:val="24"/>
                <w:szCs w:val="24"/>
              </w:rPr>
              <w:t>折叠式对手镜（具有一键放大功能）</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机器人式防震支架</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双氙灯照明装置</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pacing w:val="-8"/>
                <w:sz w:val="24"/>
                <w:szCs w:val="24"/>
              </w:rPr>
            </w:pPr>
            <w:r>
              <w:rPr>
                <w:rFonts w:hint="eastAsia" w:ascii="宋体" w:hAnsi="宋体" w:eastAsia="宋体" w:cs="宋体"/>
                <w:color w:val="auto"/>
                <w:sz w:val="24"/>
                <w:szCs w:val="24"/>
              </w:rPr>
              <w:t>黑白血管荧光造影模块</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AR荧光模块</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三档变倍器</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一键全自动平衡系统</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双激光自动聚焦模块</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24寸机身屏幕</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原厂无菌罩（含物镜保护镜）</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rPr>
              <w:t>超微观察镜</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14</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rPr>
              <w:t>3D外视镜模块</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59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导航接口</w:t>
            </w:r>
          </w:p>
        </w:tc>
        <w:tc>
          <w:tcPr>
            <w:tcW w:w="149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r>
    </w:tbl>
    <w:p>
      <w:pPr>
        <w:pStyle w:val="10"/>
        <w:jc w:val="both"/>
        <w:outlineLvl w:val="2"/>
        <w:rPr>
          <w:rFonts w:hint="eastAsia" w:ascii="宋体" w:hAnsi="宋体" w:eastAsia="宋体" w:cs="宋体"/>
          <w:b/>
          <w:color w:val="auto"/>
          <w:sz w:val="24"/>
          <w:szCs w:val="24"/>
        </w:rPr>
      </w:pPr>
    </w:p>
    <w:p>
      <w:pPr>
        <w:pStyle w:val="10"/>
        <w:jc w:val="both"/>
        <w:outlineLvl w:val="2"/>
        <w:rPr>
          <w:rFonts w:hint="eastAsia" w:ascii="宋体" w:hAnsi="宋体" w:eastAsia="宋体" w:cs="宋体"/>
          <w:b/>
          <w:color w:val="auto"/>
          <w:sz w:val="24"/>
          <w:szCs w:val="24"/>
        </w:rPr>
      </w:pPr>
    </w:p>
    <w:p>
      <w:pPr>
        <w:pStyle w:val="1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395"/>
        <w:gridCol w:w="2460"/>
        <w:gridCol w:w="3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参数性质</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类型</w:t>
            </w:r>
          </w:p>
        </w:tc>
        <w:tc>
          <w:tcPr>
            <w:tcW w:w="376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交货时间</w:t>
            </w:r>
          </w:p>
        </w:tc>
        <w:tc>
          <w:tcPr>
            <w:tcW w:w="3765" w:type="dxa"/>
          </w:tcPr>
          <w:p>
            <w:pPr>
              <w:pStyle w:val="10"/>
              <w:jc w:val="both"/>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rPr>
              <w:t>自合同签订之日起90日</w:t>
            </w:r>
            <w:r>
              <w:rPr>
                <w:rFonts w:hint="eastAsia" w:ascii="宋体" w:hAnsi="宋体" w:eastAsia="宋体" w:cs="宋体"/>
                <w:b/>
                <w:color w:val="auto"/>
                <w:sz w:val="24"/>
                <w:szCs w:val="24"/>
                <w:lang w:val="en-US" w:eastAsia="zh-CN"/>
              </w:rPr>
              <w:t>内交货。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2</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交货地点</w:t>
            </w:r>
          </w:p>
        </w:tc>
        <w:tc>
          <w:tcPr>
            <w:tcW w:w="376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福建省立医院，具体地址按用户的指定地点交付。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3</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交货条件</w:t>
            </w:r>
          </w:p>
        </w:tc>
        <w:tc>
          <w:tcPr>
            <w:tcW w:w="376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按照招标文件要求提供货物，经采购人验收合格后交付使用。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4</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是否邀请投标人验收</w:t>
            </w:r>
          </w:p>
        </w:tc>
        <w:tc>
          <w:tcPr>
            <w:tcW w:w="376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履约验收方式</w:t>
            </w:r>
          </w:p>
        </w:tc>
        <w:tc>
          <w:tcPr>
            <w:tcW w:w="376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6</w:t>
            </w:r>
          </w:p>
        </w:tc>
        <w:tc>
          <w:tcPr>
            <w:tcW w:w="1395"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460" w:type="dxa"/>
          </w:tcPr>
          <w:p>
            <w:pPr>
              <w:pStyle w:val="10"/>
              <w:jc w:val="both"/>
              <w:rPr>
                <w:rFonts w:hint="eastAsia" w:ascii="宋体" w:hAnsi="宋体" w:eastAsia="宋体" w:cs="宋体"/>
                <w:color w:val="auto"/>
                <w:sz w:val="24"/>
                <w:szCs w:val="24"/>
              </w:rPr>
            </w:pPr>
            <w:r>
              <w:rPr>
                <w:rFonts w:hint="eastAsia" w:ascii="宋体" w:hAnsi="宋体" w:eastAsia="宋体" w:cs="宋体"/>
                <w:b/>
                <w:color w:val="auto"/>
                <w:sz w:val="24"/>
                <w:szCs w:val="24"/>
              </w:rPr>
              <w:t>合同支付方式</w:t>
            </w:r>
          </w:p>
        </w:tc>
        <w:tc>
          <w:tcPr>
            <w:tcW w:w="3765" w:type="dxa"/>
          </w:tcPr>
          <w:p>
            <w:pPr>
              <w:pStyle w:val="10"/>
              <w:jc w:val="both"/>
              <w:rPr>
                <w:rFonts w:hint="eastAsia" w:ascii="宋体" w:hAnsi="宋体" w:eastAsia="宋体" w:cs="宋体"/>
                <w:color w:val="0000FF"/>
                <w:sz w:val="24"/>
                <w:szCs w:val="24"/>
              </w:rPr>
            </w:pPr>
            <w:r>
              <w:rPr>
                <w:rFonts w:hint="eastAsia" w:ascii="宋体" w:hAnsi="宋体" w:eastAsia="宋体" w:cs="宋体"/>
                <w:b/>
                <w:color w:val="0000FF"/>
                <w:sz w:val="24"/>
                <w:szCs w:val="24"/>
              </w:rPr>
              <w:t>1、签订合同</w:t>
            </w:r>
            <w:r>
              <w:rPr>
                <w:rFonts w:hint="eastAsia" w:ascii="宋体" w:hAnsi="宋体" w:eastAsia="宋体" w:cs="宋体"/>
                <w:b/>
                <w:color w:val="0000FF"/>
                <w:sz w:val="24"/>
                <w:szCs w:val="24"/>
                <w:lang w:val="en-US" w:eastAsia="zh-CN"/>
              </w:rPr>
              <w:t>后</w:t>
            </w:r>
            <w:r>
              <w:rPr>
                <w:rFonts w:hint="eastAsia" w:ascii="宋体" w:hAnsi="宋体" w:eastAsia="宋体" w:cs="宋体"/>
                <w:b/>
                <w:color w:val="0000FF"/>
                <w:sz w:val="24"/>
                <w:szCs w:val="24"/>
              </w:rPr>
              <w:t>，达到付款条件起30日内，支付合同总金额的</w:t>
            </w:r>
            <w:r>
              <w:rPr>
                <w:rFonts w:hint="eastAsia" w:ascii="宋体" w:hAnsi="宋体" w:eastAsia="宋体" w:cs="宋体"/>
                <w:b/>
                <w:color w:val="0000FF"/>
                <w:sz w:val="24"/>
                <w:szCs w:val="24"/>
                <w:lang w:val="en-US" w:eastAsia="zh-CN"/>
              </w:rPr>
              <w:t>1</w:t>
            </w:r>
            <w:r>
              <w:rPr>
                <w:rFonts w:hint="eastAsia" w:ascii="宋体" w:hAnsi="宋体" w:eastAsia="宋体" w:cs="宋体"/>
                <w:b/>
                <w:color w:val="0000FF"/>
                <w:sz w:val="24"/>
                <w:szCs w:val="24"/>
              </w:rPr>
              <w:t>0.00%</w:t>
            </w:r>
          </w:p>
          <w:p>
            <w:pPr>
              <w:pStyle w:val="10"/>
              <w:jc w:val="both"/>
              <w:rPr>
                <w:rFonts w:hint="eastAsia" w:ascii="宋体" w:hAnsi="宋体" w:eastAsia="宋体" w:cs="宋体"/>
                <w:b/>
                <w:color w:val="0000FF"/>
                <w:sz w:val="24"/>
                <w:szCs w:val="24"/>
              </w:rPr>
            </w:pPr>
            <w:r>
              <w:rPr>
                <w:rFonts w:hint="eastAsia" w:ascii="宋体" w:hAnsi="宋体" w:eastAsia="宋体" w:cs="宋体"/>
                <w:b/>
                <w:color w:val="0000FF"/>
                <w:sz w:val="24"/>
                <w:szCs w:val="24"/>
              </w:rPr>
              <w:t>2、到货验收合格</w:t>
            </w:r>
            <w:r>
              <w:rPr>
                <w:rFonts w:hint="eastAsia" w:ascii="宋体" w:hAnsi="宋体" w:eastAsia="宋体" w:cs="宋体"/>
                <w:b/>
                <w:color w:val="0000FF"/>
                <w:sz w:val="24"/>
                <w:szCs w:val="24"/>
                <w:lang w:val="en-US" w:eastAsia="zh-CN"/>
              </w:rPr>
              <w:t>后</w:t>
            </w:r>
            <w:r>
              <w:rPr>
                <w:rFonts w:hint="eastAsia" w:ascii="宋体" w:hAnsi="宋体" w:eastAsia="宋体" w:cs="宋体"/>
                <w:b/>
                <w:color w:val="0000FF"/>
                <w:sz w:val="24"/>
                <w:szCs w:val="24"/>
              </w:rPr>
              <w:t>，达到付款条件起30日内，支付合同总金额的</w:t>
            </w:r>
            <w:r>
              <w:rPr>
                <w:rFonts w:hint="eastAsia" w:ascii="宋体" w:hAnsi="宋体" w:eastAsia="宋体" w:cs="宋体"/>
                <w:b/>
                <w:color w:val="0000FF"/>
                <w:sz w:val="24"/>
                <w:szCs w:val="24"/>
                <w:lang w:val="en-US" w:eastAsia="zh-CN"/>
              </w:rPr>
              <w:t>8</w:t>
            </w:r>
            <w:r>
              <w:rPr>
                <w:rFonts w:hint="eastAsia" w:ascii="宋体" w:hAnsi="宋体" w:eastAsia="宋体" w:cs="宋体"/>
                <w:b/>
                <w:color w:val="0000FF"/>
                <w:sz w:val="24"/>
                <w:szCs w:val="24"/>
              </w:rPr>
              <w:t>0.00%</w:t>
            </w:r>
          </w:p>
          <w:p>
            <w:pPr>
              <w:pStyle w:val="10"/>
              <w:jc w:val="both"/>
              <w:rPr>
                <w:rFonts w:hint="eastAsia" w:ascii="宋体" w:hAnsi="宋体" w:eastAsia="宋体" w:cs="宋体"/>
                <w:b/>
                <w:color w:val="auto"/>
                <w:sz w:val="24"/>
                <w:szCs w:val="24"/>
                <w:lang w:val="en-US" w:eastAsia="zh-CN"/>
              </w:rPr>
            </w:pPr>
            <w:r>
              <w:rPr>
                <w:rFonts w:hint="eastAsia" w:ascii="宋体" w:hAnsi="宋体" w:eastAsia="宋体" w:cs="宋体"/>
                <w:b/>
                <w:color w:val="0000FF"/>
                <w:sz w:val="24"/>
                <w:szCs w:val="24"/>
                <w:lang w:val="en-US" w:eastAsia="zh-CN"/>
              </w:rPr>
              <w:t>3、验收满一年</w:t>
            </w:r>
            <w:r>
              <w:rPr>
                <w:rFonts w:hint="eastAsia" w:ascii="宋体" w:hAnsi="宋体" w:eastAsia="宋体" w:cs="宋体"/>
                <w:b/>
                <w:color w:val="0000FF"/>
                <w:sz w:val="24"/>
                <w:szCs w:val="24"/>
              </w:rPr>
              <w:t>后</w:t>
            </w:r>
            <w:r>
              <w:rPr>
                <w:rFonts w:hint="eastAsia" w:ascii="宋体" w:hAnsi="宋体" w:eastAsia="宋体" w:cs="宋体"/>
                <w:b/>
                <w:color w:val="0000FF"/>
                <w:sz w:val="24"/>
                <w:szCs w:val="24"/>
                <w:lang w:eastAsia="zh-CN"/>
              </w:rPr>
              <w:t>，</w:t>
            </w:r>
            <w:r>
              <w:rPr>
                <w:rFonts w:hint="eastAsia" w:ascii="宋体" w:hAnsi="宋体" w:eastAsia="宋体" w:cs="宋体"/>
                <w:b/>
                <w:color w:val="0000FF"/>
                <w:sz w:val="24"/>
                <w:szCs w:val="24"/>
              </w:rPr>
              <w:t>达到付款条件起30日内，支付合同总金额的10.00%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0"/>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w:t>
            </w:r>
          </w:p>
        </w:tc>
        <w:tc>
          <w:tcPr>
            <w:tcW w:w="1395" w:type="dxa"/>
          </w:tcPr>
          <w:p>
            <w:pPr>
              <w:pStyle w:val="10"/>
              <w:jc w:val="both"/>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2460" w:type="dxa"/>
          </w:tcPr>
          <w:p>
            <w:pPr>
              <w:pStyle w:val="10"/>
              <w:jc w:val="left"/>
              <w:rPr>
                <w:rFonts w:hint="eastAsia" w:ascii="宋体" w:hAnsi="宋体" w:eastAsia="宋体" w:cs="宋体"/>
                <w:color w:val="auto"/>
                <w:sz w:val="24"/>
                <w:szCs w:val="24"/>
              </w:rPr>
            </w:pPr>
            <w:r>
              <w:rPr>
                <w:rFonts w:hint="eastAsia" w:ascii="宋体" w:hAnsi="宋体" w:eastAsia="宋体" w:cs="宋体"/>
                <w:b/>
                <w:color w:val="auto"/>
                <w:sz w:val="24"/>
                <w:szCs w:val="24"/>
              </w:rPr>
              <w:t>履约保证金</w:t>
            </w:r>
          </w:p>
          <w:p>
            <w:pPr>
              <w:pStyle w:val="10"/>
              <w:jc w:val="both"/>
              <w:rPr>
                <w:rFonts w:hint="eastAsia" w:ascii="宋体" w:hAnsi="宋体" w:eastAsia="宋体" w:cs="宋体"/>
                <w:b/>
                <w:color w:val="auto"/>
                <w:sz w:val="24"/>
                <w:szCs w:val="24"/>
              </w:rPr>
            </w:pPr>
          </w:p>
        </w:tc>
        <w:tc>
          <w:tcPr>
            <w:tcW w:w="3765" w:type="dxa"/>
          </w:tcPr>
          <w:p>
            <w:pPr>
              <w:pStyle w:val="10"/>
              <w:jc w:val="left"/>
              <w:rPr>
                <w:rFonts w:hint="eastAsia" w:ascii="宋体" w:hAnsi="宋体" w:eastAsia="宋体" w:cs="宋体"/>
                <w:b/>
                <w:bCs/>
                <w:color w:val="0000FF"/>
                <w:sz w:val="24"/>
                <w:szCs w:val="24"/>
              </w:rPr>
            </w:pPr>
            <w:r>
              <w:rPr>
                <w:rFonts w:hint="eastAsia" w:ascii="宋体" w:hAnsi="宋体" w:eastAsia="宋体" w:cs="宋体"/>
                <w:b/>
                <w:bCs/>
                <w:color w:val="0000FF"/>
                <w:sz w:val="24"/>
                <w:szCs w:val="24"/>
              </w:rPr>
              <w:t>缴纳, 本采购包履约保证金为合同金额的10.0%</w:t>
            </w:r>
          </w:p>
          <w:p>
            <w:pPr>
              <w:pStyle w:val="10"/>
              <w:jc w:val="both"/>
              <w:rPr>
                <w:rFonts w:hint="eastAsia" w:ascii="宋体" w:hAnsi="宋体" w:eastAsia="宋体" w:cs="宋体"/>
                <w:b/>
                <w:color w:val="auto"/>
                <w:sz w:val="24"/>
                <w:szCs w:val="24"/>
              </w:rPr>
            </w:pPr>
            <w:r>
              <w:rPr>
                <w:rFonts w:hint="eastAsia" w:ascii="宋体" w:hAnsi="宋体" w:eastAsia="宋体" w:cs="宋体"/>
                <w:b/>
                <w:bCs/>
                <w:color w:val="0000FF"/>
                <w:sz w:val="24"/>
                <w:szCs w:val="24"/>
              </w:rPr>
              <w:t>说明：中标人需缴纳履约保证金，金额为合同总金额的 10 %。在合同签订前，中标人应将履约保证金从企业基本账户以电汇或银行转账形式汇到采购人</w:t>
            </w:r>
            <w:bookmarkStart w:id="0" w:name="_GoBack"/>
            <w:bookmarkEnd w:id="0"/>
            <w:r>
              <w:rPr>
                <w:rFonts w:hint="eastAsia" w:ascii="宋体" w:hAnsi="宋体" w:eastAsia="宋体" w:cs="宋体"/>
                <w:b/>
                <w:bCs/>
                <w:color w:val="0000FF"/>
                <w:sz w:val="24"/>
                <w:szCs w:val="24"/>
              </w:rPr>
              <w:t>指定的履约保证金账户或以保函形式提交履约保证金；履约保证金在采购人收到货物后，中标人提出书面履约保证金退还申请，采购人收到中标人提出的申请函后无息退还履约保证金。</w:t>
            </w:r>
          </w:p>
        </w:tc>
      </w:tr>
    </w:tbl>
    <w:p>
      <w:pPr>
        <w:pStyle w:val="10"/>
        <w:ind w:firstLine="480" w:firstLineChars="200"/>
        <w:jc w:val="left"/>
        <w:rPr>
          <w:rFonts w:hint="eastAsia" w:ascii="宋体" w:hAnsi="宋体" w:eastAsia="宋体" w:cs="宋体"/>
          <w:color w:val="auto"/>
          <w:sz w:val="24"/>
          <w:szCs w:val="24"/>
        </w:rPr>
      </w:pPr>
    </w:p>
    <w:p>
      <w:pPr>
        <w:pStyle w:val="1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其他商务要求</w:t>
      </w:r>
    </w:p>
    <w:p>
      <w:pPr>
        <w:pStyle w:val="10"/>
        <w:jc w:val="left"/>
        <w:rPr>
          <w:rFonts w:hint="eastAsia" w:ascii="宋体" w:hAnsi="宋体" w:eastAsia="宋体" w:cs="宋体"/>
          <w:color w:val="auto"/>
          <w:sz w:val="24"/>
          <w:szCs w:val="24"/>
        </w:rPr>
      </w:pP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1、安装与验收</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1.1安装</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1.1.1合同签订后，由中标人负责将设备按签订合同的具体数量、具体地点运送到最终目的地。并负责派技术人员到现场进行安装、调试，技术人员必须具有安装、调试同型号设备的工作经验，并负责调试至验收合格交付采购人使用。</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1.1.2中标人负责组织专业技术人员进行货物安装调试，采购人应提供必须的基本条件和专人配合，保证各项安装工作顺利进行。</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1.1.3中标人应在合同签订时，向采购人提供安装及试运行的进度计划表。</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1.1.4设备到达最终采购人现场后，中标人的工程师到采购人的现场安装设备，同时应向采购人介绍设备功能及特殊分析并进行现场演示。</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1.1.5设备进场后须在接到采购人安装通知后在采购人规定的时间内安装调试完毕并交付使用。</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1.1.6中标人提供的配置应符合临床应用要求。</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1.2验收</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1.2.1验收标准</w:t>
      </w:r>
    </w:p>
    <w:p>
      <w:pPr>
        <w:pStyle w:val="10"/>
        <w:spacing w:after="18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1.2.2验收程序和方法</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1.2.2.1出厂检验</w:t>
      </w:r>
    </w:p>
    <w:p>
      <w:pPr>
        <w:pStyle w:val="10"/>
        <w:spacing w:after="18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1.2.2.2初验收：</w:t>
      </w:r>
    </w:p>
    <w:p>
      <w:pPr>
        <w:pStyle w:val="10"/>
        <w:spacing w:after="180"/>
        <w:ind w:firstLine="540"/>
        <w:jc w:val="left"/>
        <w:rPr>
          <w:rFonts w:hint="eastAsia" w:ascii="宋体" w:hAnsi="宋体" w:eastAsia="宋体" w:cs="宋体"/>
          <w:color w:val="auto"/>
          <w:sz w:val="24"/>
          <w:szCs w:val="24"/>
        </w:rPr>
      </w:pPr>
      <w:r>
        <w:rPr>
          <w:rFonts w:hint="eastAsia" w:ascii="宋体" w:hAnsi="宋体" w:eastAsia="宋体" w:cs="宋体"/>
          <w:b/>
          <w:color w:val="auto"/>
          <w:sz w:val="24"/>
          <w:szCs w:val="24"/>
        </w:rPr>
        <w:t>由中标人和采购人共同对设备的数量、质量、外包装等根据本章节的有关规定逐项检验。</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1.2.2.3试运行：</w:t>
      </w:r>
    </w:p>
    <w:p>
      <w:pPr>
        <w:pStyle w:val="10"/>
        <w:spacing w:after="18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pPr>
        <w:pStyle w:val="10"/>
        <w:spacing w:after="180"/>
        <w:ind w:firstLine="342"/>
        <w:jc w:val="left"/>
        <w:rPr>
          <w:rFonts w:hint="eastAsia" w:ascii="宋体" w:hAnsi="宋体" w:eastAsia="宋体" w:cs="宋体"/>
          <w:color w:val="auto"/>
          <w:sz w:val="24"/>
          <w:szCs w:val="24"/>
        </w:rPr>
      </w:pPr>
      <w:r>
        <w:rPr>
          <w:rFonts w:hint="eastAsia" w:ascii="宋体" w:hAnsi="宋体" w:eastAsia="宋体" w:cs="宋体"/>
          <w:b/>
          <w:color w:val="auto"/>
          <w:sz w:val="24"/>
          <w:szCs w:val="24"/>
        </w:rPr>
        <w:t>1.2.2.4最终验收：</w:t>
      </w:r>
    </w:p>
    <w:p>
      <w:pPr>
        <w:pStyle w:val="10"/>
        <w:spacing w:after="180"/>
        <w:ind w:firstLine="540"/>
        <w:jc w:val="left"/>
        <w:rPr>
          <w:rFonts w:hint="eastAsia" w:ascii="宋体" w:hAnsi="宋体" w:eastAsia="宋体" w:cs="宋体"/>
          <w:color w:val="auto"/>
          <w:sz w:val="24"/>
          <w:szCs w:val="24"/>
        </w:rPr>
      </w:pPr>
      <w:r>
        <w:rPr>
          <w:rFonts w:hint="eastAsia" w:ascii="宋体" w:hAnsi="宋体" w:eastAsia="宋体" w:cs="宋体"/>
          <w:b/>
          <w:color w:val="auto"/>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1.2.3中标人在采购人安装现场进行最终验收所产生的一切费用由中标人承担（并入投标报价内）。</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1.2.4若验收不能符合要求，采购人将按合同条款的有关规定执行。</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2、技术资料要求:</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中标人需提供本项目全套设备配置清单（详列名称、品牌型号、数量、原产地等）。中标人应向采购人提供以下目录的技术资料壹套（各项指标和参数应符合验收标准，采购人有权委托中国有资格单位或机构对设备性能、精度进行校核）。</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2.1出厂明细表(装箱单)；</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2.2出厂检验报告和合格证书；</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2.3使用说明书；</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2.4安装手册、操作手册、维修手册；</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2.5零部件目录；</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2.6相关文件、支持程序软盘或光盘；</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2.7提供原产地制造商的产品证明；</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2.8合同中要求的其它文件资料。</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3、专用工具</w:t>
      </w:r>
    </w:p>
    <w:p>
      <w:pPr>
        <w:pStyle w:val="10"/>
        <w:spacing w:after="180"/>
        <w:ind w:firstLine="480"/>
        <w:jc w:val="left"/>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3.1中标人应向采购人提供一套维修所需的专用工具及清单(清单附在投标文件中)。</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4、特殊工具</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4.1中标人应向采购人提供货物安装和维修所需的特殊工具及清单和中文说明书，其费用包括在投标总价内。</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5、售后服务要求</w:t>
      </w:r>
    </w:p>
    <w:p>
      <w:pPr>
        <w:pStyle w:val="10"/>
        <w:spacing w:after="150"/>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5.1保修期期限：保修期自验收合格交付正常使用之日起不少于</w:t>
      </w:r>
      <w:r>
        <w:rPr>
          <w:rFonts w:hint="eastAsia" w:ascii="宋体" w:hAnsi="宋体" w:eastAsia="宋体" w:cs="宋体"/>
          <w:b/>
          <w:color w:val="auto"/>
          <w:sz w:val="24"/>
          <w:szCs w:val="24"/>
          <w:lang w:val="en-US" w:eastAsia="zh-CN"/>
        </w:rPr>
        <w:t>贰</w:t>
      </w:r>
      <w:r>
        <w:rPr>
          <w:rFonts w:hint="eastAsia" w:ascii="宋体" w:hAnsi="宋体" w:eastAsia="宋体" w:cs="宋体"/>
          <w:b/>
          <w:color w:val="auto"/>
          <w:sz w:val="24"/>
          <w:szCs w:val="24"/>
        </w:rPr>
        <w:t>年。保修期内，须按合同条款提供免费服务，非因操作不当造成要更换的零配件及仪器设备由中标供应商负责包修、包换。保修期满后，提供终身维修、维护服务。</w:t>
      </w:r>
    </w:p>
    <w:p>
      <w:pPr>
        <w:pStyle w:val="10"/>
        <w:spacing w:after="150"/>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5.2在质量保证期内设备运行发生故障时中标人在接到采购人故障通知后4小时内响应，并在24小时内派工程师到达现场，免费负责修理或更换有缺陷的零部件或整机，如一时无法修复的设备，中标人应提供备品供采购人临床使用。在质量保证期一年内出现属设备质量问题，采购人则有权要求免费更换整机，更换的质量保证期从更换之日起相应顺延。</w:t>
      </w:r>
    </w:p>
    <w:p>
      <w:pPr>
        <w:pStyle w:val="10"/>
        <w:spacing w:before="60" w:after="60"/>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5.3为保证采购人设备的正常运行，中标人应根据设备运行状况提供定期预防性维护保养,并提供详细检测内容和检测清单的维修报告；设备发生故障维修及保养事件，必须到采购人信息科备案登记；维护保养的次数与内容、更换维修备件的数目需详细记录，相关文件交采购人信息科存档。</w:t>
      </w:r>
    </w:p>
    <w:p>
      <w:pPr>
        <w:pStyle w:val="10"/>
        <w:spacing w:before="60" w:after="60"/>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5.4免费保修期满前1个月内中标人应负责对设备进行一次免费全面检查，如发现潜在问题，应负责排除，保证设备正常运行。</w:t>
      </w:r>
    </w:p>
    <w:p>
      <w:pPr>
        <w:pStyle w:val="10"/>
        <w:spacing w:after="150"/>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5.5质量保证期后的服务要求：质保期结束后，中标人仍应负责对设备提供售后 服务，并保障备品配件的供应。</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6、技术培训</w:t>
      </w:r>
    </w:p>
    <w:p>
      <w:pPr>
        <w:pStyle w:val="10"/>
        <w:spacing w:after="180"/>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7、违约责任</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7.1因中标人原因造成采购合同无法按时签订，视为中标人违约，中标人违约对采购人造成的损失的，需另行支付相应的赔偿。</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在签订采购合同之后，有下列情形之一的，将视为中标人违约，采购人有权要求中标人支付违约金，并直接从履约保证金及剩余合同价款中予以抵扣；若履约保证金及剩余合同价款不足，采购人有权进一步提出追索和索赔：</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7.2.1签订合同后，中标人未按合同规定提供货物或服务的；</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7.2.2中标人逾期提交材料的，每逾期一天，按合同价格的万分之五偿付违约金；</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7.2.3中标人不能交货或不能完成合同所约定服务的（不可抗力因素造成的除外）；</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7.2.4中标人未能按合同规定履行其义务的；</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7.2.5在签订采购合同之后，中标人要求解除合同的。</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7.3本合同所有服务，都必须由中标人自己或在投标文件中明确的单位承担，不得以任何名义和理由进行分包或转包。如有发现，视为中标人违约，采购人有权单方终止合同，对采购人造成损失的，需另行支付相应的赔偿。</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7.4中标人逾期完成任何一项服务内容达10日的，采购人有权委托第三方完成部分或全部工作，相关费用直接从采购人应向中标人支付的合同价款中予以扣除；同时，采购人有权选择解除合同，并要求中标人赔偿由此给采购人造成的一切损失。</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7.5因中标人原因发生重大质量事故，除依约承担赔偿责任外，还将按有关质量管理办法规定执行。同时，采购人有权保留更换中标人的权利，并报相关行政主管部门处罚。</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7.6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7.7在明确违约责任后，中标人应在接到书面通知书起七天内支付违约金、赔偿金等。</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8、违约终止合同</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8.1在合同履行期间，若遇到政府部门或上级单位出台有关该项目的政策调整，继续履行合同将违反相关政策文件要求的，采购人须提前30日通知中标人终止合同，因此造成的合同解除采购人不承担违约责任。</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8.2有下列情形之一，采购人有权单方解除合同，中标人还需向采购人支付合同金额30%的违约金。</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8.2.1中标人提供的服务不符合合同约定且拒绝提供服务的；</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8.2.2中标人出现3次以上提供的服务不符合合同约定的；</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8.2.3中标人无故拒绝履行合同；</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违约金直接从采购人应支付中标人的费用中扣除，不足部分，中标人应自收到采购人通知之日起10日内缴纳。</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9、不可抗力</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9.1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9.2合同中的不可抗力指不能预见、不能避免并不能克服的客观情况。包括但不限于：自然灾害如地震、台风、洪水、火灾；政府行为、法律规定或其适用的变化或者其他任何无法预见、避免或者控制的事件。</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10、专利权及知识产权</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中标人须保障采购人在接受服务过程中不受到第三方关于侵犯专</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shd w:val="clear" w:fill="FFFFFF"/>
        </w:rPr>
        <w:t>利权、商</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shd w:val="clear" w:fill="FFFFFF"/>
        </w:rPr>
        <w:t>标权或工业设</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shd w:val="clear" w:fill="FFFFFF"/>
        </w:rPr>
        <w:t>计权等知识产权的指控。如果任何第三方提出侵权指控与采购人无关，中标人须与第三方交涉并承担可能发生的责任与一切费用。如采购人因此而遭致损失的，中标人应赔偿该损失。</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11、保密条款</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11.1中标人不得以任何方式或任何实现本项目以外的其他目的擅自使用采购人保密信息及保密信息载体，或将该等保密信息揭示、公布、披露给任何第三方，或许可任何第三方使用。</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11.2如采购人提出要求，中标人应将载有采购人保密信息的任何文件、资料或软件，按要求归还，或予以销毁，或进行其他处置，并且不得继续使用这些保密信息。</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11.3中标人违反上述保密义务造成损失的，需承担赔偿责任。本保密条款永久有效，不受合同终止或无效的影响。</w:t>
      </w:r>
    </w:p>
    <w:p>
      <w:pPr>
        <w:pStyle w:val="10"/>
        <w:spacing w:after="150"/>
        <w:ind w:firstLine="420"/>
        <w:jc w:val="left"/>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11.4中标人违反本条约定泄露采购人的涉密信息的，应承担相应的法律责任，造成采购人损失的，中标人应当依法承担赔偿责任。</w:t>
      </w:r>
    </w:p>
    <w:p>
      <w:pPr>
        <w:pStyle w:val="10"/>
        <w:ind w:firstLine="480"/>
        <w:jc w:val="both"/>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1、除招标文件另有规定外，若出现有关法律、法规和规章有强制性规定但招标文件未列明的情形，则投标人应按照有关法律、法规和规章强制性规定执行。</w:t>
      </w:r>
    </w:p>
    <w:p>
      <w:pPr>
        <w:pStyle w:val="10"/>
        <w:ind w:firstLine="480"/>
        <w:jc w:val="both"/>
        <w:rPr>
          <w:rFonts w:hint="eastAsia" w:ascii="宋体" w:hAnsi="宋体" w:eastAsia="宋体" w:cs="宋体"/>
          <w:color w:val="auto"/>
          <w:sz w:val="24"/>
          <w:szCs w:val="24"/>
        </w:rPr>
      </w:pPr>
      <w:r>
        <w:rPr>
          <w:rFonts w:hint="eastAsia" w:ascii="宋体" w:hAnsi="宋体" w:eastAsia="宋体" w:cs="宋体"/>
          <w:b/>
          <w:color w:val="auto"/>
          <w:sz w:val="24"/>
          <w:szCs w:val="24"/>
        </w:rPr>
        <w:t>2、其他：</w:t>
      </w:r>
    </w:p>
    <w:p>
      <w:pPr>
        <w:pStyle w:val="10"/>
        <w:ind w:firstLine="480"/>
        <w:jc w:val="both"/>
        <w:rPr>
          <w:rFonts w:hint="eastAsia" w:ascii="宋体" w:hAnsi="宋体" w:eastAsia="宋体" w:cs="宋体"/>
          <w:color w:val="auto"/>
          <w:sz w:val="24"/>
          <w:szCs w:val="24"/>
        </w:rPr>
      </w:pPr>
    </w:p>
    <w:p>
      <w:pPr>
        <w:pStyle w:val="10"/>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2.1、投标人按采购包投标，对同一个采购包内所有品目号内容投标时必须完整。不得仅对一个采购包中的部分货物或服务进行投标，否则其投标将被拒绝。评标与授标以采购包为单位。  </w:t>
      </w:r>
    </w:p>
    <w:p>
      <w:pPr>
        <w:pStyle w:val="10"/>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2.2、中标投标人不得转包他人，若发现转包，用户有权终止协议。 </w:t>
      </w:r>
    </w:p>
    <w:p>
      <w:pPr>
        <w:pStyle w:val="10"/>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2.3、投标人应充分考虑以上的情况后进行报价，投标人的报价应包括产品所涉及的有关项目费用进行报价，包括：产品制造、劳务、运输、管理、安装、调试、保险、检测、保修等，以及所有根据合同或其它原因应由投标人支付的税金和其它应缴的费用，以及可合理推断的责任和义务。  </w:t>
      </w:r>
    </w:p>
    <w:p>
      <w:pPr>
        <w:pStyle w:val="10"/>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2.4、投标人投标时须详细标明投标货物的品 牌、型号以及对应的详细配置说明。</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第六章 政府采购合同</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参考文本</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pPr>
        <w:pStyle w:val="10"/>
        <w:jc w:val="center"/>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福建省政府采购合同（货物类）</w:t>
      </w:r>
    </w:p>
    <w:p>
      <w:pPr>
        <w:pStyle w:val="10"/>
        <w:jc w:val="center"/>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编制说明</w:t>
      </w:r>
    </w:p>
    <w:p>
      <w:pPr>
        <w:pStyle w:val="10"/>
        <w:jc w:val="center"/>
        <w:outlineLvl w:val="3"/>
        <w:rPr>
          <w:rFonts w:hint="eastAsia" w:ascii="宋体" w:hAnsi="宋体" w:eastAsia="宋体" w:cs="宋体"/>
          <w:b/>
          <w:color w:val="auto"/>
          <w:sz w:val="24"/>
          <w:szCs w:val="24"/>
          <w:lang w:eastAsia="zh-CN"/>
        </w:rPr>
      </w:pP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1.签订合同应遵守《中华人民共和国政府采购法》及其实施条例、《中华人民共和国民法典》等法律法规及其他有关规定。</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3.政府有关主管部门对若干合同有规范文本的，可使用相应合同文本。</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4.本合同范本仅供参考，采购人应当根据采购项目的实际需求对合同条款进行修改、补充。</w:t>
      </w:r>
    </w:p>
    <w:p>
      <w:pPr>
        <w:pStyle w:val="10"/>
        <w:ind w:left="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甲方：___________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住所地：___________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传真：___________</w:t>
      </w:r>
    </w:p>
    <w:p>
      <w:pPr>
        <w:pStyle w:val="1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电子邮箱：___________</w:t>
      </w:r>
    </w:p>
    <w:p>
      <w:pPr>
        <w:pStyle w:val="10"/>
        <w:jc w:val="left"/>
        <w:rPr>
          <w:rFonts w:hint="eastAsia" w:ascii="宋体" w:hAnsi="宋体" w:eastAsia="宋体" w:cs="宋体"/>
          <w:color w:val="auto"/>
          <w:sz w:val="24"/>
          <w:szCs w:val="24"/>
          <w:lang w:eastAsia="zh-CN"/>
        </w:rPr>
      </w:pPr>
    </w:p>
    <w:p>
      <w:pPr>
        <w:pStyle w:val="10"/>
        <w:ind w:left="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乙方：___________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住所地：___________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传真：___________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电子邮箱：___________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根据项目编号为________的___________项目（以下简称：“本项目”）的采购结果，遵循平等、自愿、公平和诚实信用的原则，双方签署本合同，具体内容如下：</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1.1本合同条款及附件；</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1.2采购文件及其附件、补充文件；</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1.3乙方的响应文件及其附件、补充文件；</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1.4其他文件或材料：</w:t>
      </w:r>
    </w:p>
    <w:p>
      <w:pPr>
        <w:pStyle w:val="10"/>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二、合同标的</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三、合同金额</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3.1合同总价：人民币（大写）_________（￥_________元）；</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3.2合同总价组成：___________；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3.3其他需说明事项：___________；</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四、合同标的交付</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4.1交付时间：___________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4.2交付地点：___________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4.3交付条件：___________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4.4供货要求：</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（4）其他供货要求：</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五、质量标准及要求</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5.1质量标准及要求</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（2）其他质量要求</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5.2节能环保产品要求</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5.3质量保证范围、质量保证期及售后服务</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（1）质量保证范围：___________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（2）本合同乙方所供应的货物质量保证期自验收合格之日起{_______月。</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（3）售后服务应按法律法规和采购文件约定执行，具体如下：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5.4商品安全责任</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商品安全责任应按照法律法规和采购文件的规定执行，具体如下：</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六、安装调试、验收及退、换货</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6.1安装调试、验收应按照采购文件、乙方响应文件的规定或约定进行，具体如下：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6.2本项目是否邀请其他投标人参与验收：</w:t>
      </w:r>
    </w:p>
    <w:p>
      <w:pPr>
        <w:pStyle w:val="10"/>
        <w:jc w:val="left"/>
        <w:rPr>
          <w:rFonts w:hint="eastAsia" w:ascii="宋体" w:hAnsi="宋体" w:eastAsia="宋体" w:cs="宋体"/>
          <w:color w:val="auto"/>
          <w:sz w:val="24"/>
          <w:szCs w:val="24"/>
        </w:rPr>
      </w:pPr>
    </w:p>
    <w:p>
      <w:pPr>
        <w:pStyle w:val="1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不邀请。邀请，具体如下：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6.3本项目是否邀请专家参与验收：</w:t>
      </w:r>
    </w:p>
    <w:p>
      <w:pPr>
        <w:pStyle w:val="10"/>
        <w:jc w:val="left"/>
        <w:rPr>
          <w:rFonts w:hint="eastAsia" w:ascii="宋体" w:hAnsi="宋体" w:eastAsia="宋体" w:cs="宋体"/>
          <w:color w:val="auto"/>
          <w:sz w:val="24"/>
          <w:szCs w:val="24"/>
        </w:rPr>
      </w:pPr>
    </w:p>
    <w:p>
      <w:pPr>
        <w:pStyle w:val="1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不邀请。邀请，具体如下：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6.4本项目是否邀请国家认可的质量检测机构参与验收：</w:t>
      </w:r>
    </w:p>
    <w:p>
      <w:pPr>
        <w:pStyle w:val="10"/>
        <w:jc w:val="left"/>
        <w:rPr>
          <w:rFonts w:hint="eastAsia" w:ascii="宋体" w:hAnsi="宋体" w:eastAsia="宋体" w:cs="宋体"/>
          <w:color w:val="auto"/>
          <w:sz w:val="24"/>
          <w:szCs w:val="24"/>
        </w:rPr>
      </w:pPr>
    </w:p>
    <w:p>
      <w:pPr>
        <w:pStyle w:val="1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不邀请。邀请，具体如下：</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6.5履约验收：___________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6.6退、换货：___________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6.7其他：</w:t>
      </w:r>
    </w:p>
    <w:p>
      <w:pPr>
        <w:pStyle w:val="10"/>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七、资金支付方式、条件和时间</w:t>
      </w:r>
    </w:p>
    <w:p>
      <w:pPr>
        <w:pStyle w:val="10"/>
        <w:jc w:val="left"/>
        <w:outlineLvl w:val="3"/>
        <w:rPr>
          <w:rFonts w:hint="eastAsia" w:ascii="宋体" w:hAnsi="宋体" w:eastAsia="宋体" w:cs="宋体"/>
          <w:b/>
          <w:color w:val="auto"/>
          <w:sz w:val="24"/>
          <w:szCs w:val="24"/>
          <w:lang w:eastAsia="zh-CN"/>
        </w:rPr>
      </w:pP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八、履约保证金</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□有，□无。具体如下违约：（按照采购文件规定填写）。</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8.1乙方向甲方缴纳人民币 元（大写： ）作为本合同的履约保证金。</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8.2履约保证金缴纳形式：支票/汇票/电汇/保函等非现金形式。</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8.3履约保证金退还： （根据实际情况填写） 。</w:t>
      </w:r>
    </w:p>
    <w:p>
      <w:pPr>
        <w:pStyle w:val="10"/>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九、合同期限</w:t>
      </w:r>
    </w:p>
    <w:p>
      <w:pPr>
        <w:pStyle w:val="10"/>
        <w:jc w:val="left"/>
        <w:outlineLvl w:val="3"/>
        <w:rPr>
          <w:rFonts w:hint="eastAsia" w:ascii="宋体" w:hAnsi="宋体" w:eastAsia="宋体" w:cs="宋体"/>
          <w:b/>
          <w:color w:val="auto"/>
          <w:sz w:val="24"/>
          <w:szCs w:val="24"/>
          <w:lang w:eastAsia="zh-CN"/>
        </w:rPr>
      </w:pP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十、违约责任</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10.1甲方违约责任</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（1）甲方无正当理由拒收乙方交付的合格产品的，甲方向乙方偿付拒收货款总值_____的违约金</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（2）甲方无故逾期验收和办理合同款项支付手续的,甲方应按逾期付款总额每日_______向乙方支付违约金。</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（3）其他违约情形</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10.2乙方违约责任</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（3）乙方不按合同约定履约的，甲方可以解除采购合同，并对乙方已缴纳的履约保证金作“不予退还”处理。同时，乙方还须按向甲方支付违约金：</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（4）其他违约情形</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十一、不可抗力事件处理</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十二、保密条款</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12.1对于在采购和合同履行过程中所获悉的属于保密的内容，甲、乙双方均负有保密义务。</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12.2其他</w:t>
      </w: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十三、解决争议的方法</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13.1甲、乙双方协商解决。</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13.2若协商解决不成，则通过下列途径之一解决：</w:t>
      </w:r>
    </w:p>
    <w:p>
      <w:pPr>
        <w:pStyle w:val="10"/>
        <w:jc w:val="left"/>
        <w:rPr>
          <w:rFonts w:hint="eastAsia" w:ascii="宋体" w:hAnsi="宋体" w:eastAsia="宋体" w:cs="宋体"/>
          <w:color w:val="auto"/>
          <w:sz w:val="24"/>
          <w:szCs w:val="24"/>
        </w:rPr>
      </w:pPr>
    </w:p>
    <w:p>
      <w:pPr>
        <w:pStyle w:val="1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提交仲裁委员会仲裁，具体如下：</w:t>
      </w:r>
    </w:p>
    <w:p>
      <w:pPr>
        <w:pStyle w:val="1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向人民法院提起诉讼，具体如下：</w:t>
      </w:r>
    </w:p>
    <w:p>
      <w:pPr>
        <w:pStyle w:val="10"/>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十四、合同其他条款</w:t>
      </w:r>
    </w:p>
    <w:p>
      <w:pPr>
        <w:pStyle w:val="10"/>
        <w:jc w:val="left"/>
        <w:outlineLvl w:val="3"/>
        <w:rPr>
          <w:rFonts w:hint="eastAsia" w:ascii="宋体" w:hAnsi="宋体" w:eastAsia="宋体" w:cs="宋体"/>
          <w:b/>
          <w:color w:val="auto"/>
          <w:sz w:val="24"/>
          <w:szCs w:val="24"/>
          <w:lang w:eastAsia="zh-CN"/>
        </w:rPr>
      </w:pPr>
    </w:p>
    <w:p>
      <w:pPr>
        <w:pStyle w:val="10"/>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十五、其他约定</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15.1合同文件与本合同具有同等法律效力。</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15.3本合同未尽事宜，遵照《中华人民共和国民法典》有关条文执行。</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15.4本合同正本一式_______份，具有同等法律效力，甲方、乙方各执_______份；副本_______份，_______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15.5本合同已用于政府采购合同融资，为本项目提供合同融资的金融机构为：_______，甲乙双方应当按照融资合同的约定进行资金使用及款项支付。</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15.6其他</w:t>
      </w:r>
    </w:p>
    <w:p>
      <w:pPr>
        <w:pStyle w:val="10"/>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十六、合同附件</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甲方（采购人）：</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乙方（中标或成交人）：</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p>
      <w:pPr>
        <w:pStyle w:val="10"/>
        <w:jc w:val="left"/>
        <w:rPr>
          <w:rFonts w:hint="eastAsia" w:ascii="宋体" w:hAnsi="宋体" w:eastAsia="宋体" w:cs="宋体"/>
          <w:color w:val="auto"/>
          <w:sz w:val="24"/>
          <w:szCs w:val="24"/>
        </w:rPr>
      </w:pP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签订地点：__________</w:t>
      </w:r>
    </w:p>
    <w:p>
      <w:pPr>
        <w:pStyle w:val="10"/>
        <w:jc w:val="left"/>
        <w:rPr>
          <w:rFonts w:hint="eastAsia" w:ascii="宋体" w:hAnsi="宋体" w:eastAsia="宋体" w:cs="宋体"/>
          <w:color w:val="auto"/>
          <w:sz w:val="24"/>
          <w:szCs w:val="24"/>
        </w:rPr>
      </w:pPr>
      <w:r>
        <w:rPr>
          <w:rFonts w:hint="eastAsia" w:ascii="宋体" w:hAnsi="宋体" w:eastAsia="宋体" w:cs="宋体"/>
          <w:color w:val="auto"/>
          <w:sz w:val="24"/>
          <w:szCs w:val="24"/>
        </w:rPr>
        <w:t>签订日期：___年___月___日</w:t>
      </w:r>
    </w:p>
    <w:p>
      <w:pPr>
        <w:pStyle w:val="10"/>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第七章 电子投标文件格式</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封面格式(资格及资信证明部分)</w:t>
      </w:r>
    </w:p>
    <w:p>
      <w:pPr>
        <w:pStyle w:val="10"/>
        <w:jc w:val="center"/>
        <w:outlineLvl w:val="0"/>
        <w:rPr>
          <w:rFonts w:hint="eastAsia" w:ascii="宋体" w:hAnsi="宋体" w:eastAsia="宋体" w:cs="宋体"/>
          <w:color w:val="auto"/>
          <w:sz w:val="28"/>
          <w:szCs w:val="28"/>
        </w:rPr>
      </w:pPr>
      <w:r>
        <w:rPr>
          <w:rFonts w:hint="eastAsia" w:ascii="宋体" w:hAnsi="宋体" w:eastAsia="宋体" w:cs="宋体"/>
          <w:b/>
          <w:color w:val="auto"/>
          <w:sz w:val="28"/>
          <w:szCs w:val="28"/>
        </w:rPr>
        <w:t>福建省政府采购投标文件</w:t>
      </w:r>
    </w:p>
    <w:p>
      <w:pPr>
        <w:pStyle w:val="10"/>
        <w:jc w:val="center"/>
        <w:outlineLvl w:val="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（资格及资信证明部分）</w:t>
      </w:r>
    </w:p>
    <w:p>
      <w:pPr>
        <w:pStyle w:val="10"/>
        <w:jc w:val="center"/>
        <w:outlineLvl w:val="0"/>
        <w:rPr>
          <w:rFonts w:hint="eastAsia" w:ascii="宋体" w:hAnsi="宋体" w:eastAsia="宋体" w:cs="宋体"/>
          <w:b/>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（填写正本或副本）</w:t>
      </w:r>
    </w:p>
    <w:p>
      <w:pPr>
        <w:pStyle w:val="10"/>
        <w:jc w:val="center"/>
        <w:outlineLvl w:val="1"/>
        <w:rPr>
          <w:rFonts w:hint="eastAsia" w:ascii="宋体" w:hAnsi="宋体" w:eastAsia="宋体" w:cs="宋体"/>
          <w:b/>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（项目名称：（由投标人填写）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（备案编号：（由投标人填写）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（项目编号：（由投标人填写）</w:t>
      </w:r>
    </w:p>
    <w:p>
      <w:pPr>
        <w:pStyle w:val="10"/>
        <w:jc w:val="center"/>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（所投采购包：（由投标人填写）</w:t>
      </w:r>
    </w:p>
    <w:p>
      <w:pPr>
        <w:pStyle w:val="10"/>
        <w:jc w:val="center"/>
        <w:outlineLvl w:val="2"/>
        <w:rPr>
          <w:rFonts w:hint="eastAsia" w:ascii="宋体" w:hAnsi="宋体" w:eastAsia="宋体" w:cs="宋体"/>
          <w:b/>
          <w:color w:val="auto"/>
          <w:sz w:val="28"/>
          <w:szCs w:val="28"/>
          <w:lang w:eastAsia="zh-CN"/>
        </w:rPr>
      </w:pPr>
    </w:p>
    <w:p>
      <w:pPr>
        <w:pStyle w:val="10"/>
        <w:jc w:val="center"/>
        <w:outlineLvl w:val="2"/>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投标人：（填写“全称”）</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（由投标人填写）年（由投标人填写）月</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（项目编号：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（填写“全名”）</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1、确认：</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2.8我方承诺电子投标文件所提供的全部资料真实可靠，并接受评标委员会、采购人、采购代理机构、监管部门进一步审查其中任何资料真实性的要求。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2.9除招标文件另有规定外，对于贵单位按照下述联络方式发出的任何信息或通知，均视为我方已收悉前述信息或通知的全部内容：</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通信地址：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pPr>
        <w:pStyle w:val="10"/>
        <w:jc w:val="both"/>
        <w:rPr>
          <w:rFonts w:hint="eastAsia" w:ascii="宋体" w:hAnsi="宋体" w:eastAsia="宋体" w:cs="宋体"/>
          <w:color w:val="auto"/>
          <w:sz w:val="24"/>
          <w:szCs w:val="24"/>
        </w:rPr>
      </w:pPr>
    </w:p>
    <w:p>
      <w:pPr>
        <w:pStyle w:val="10"/>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color w:val="auto"/>
          <w:sz w:val="24"/>
          <w:szCs w:val="24"/>
        </w:rPr>
      </w:pPr>
    </w:p>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二-2营业执照等证明文件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二-3财务状况报告（财务报告、或资信证明）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二-4依法缴纳税收证明材料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二-5依法缴纳社会保障资金证明材料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二-6具备履行合同所必需设备和专业技术能力的声明函（若有）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pPr>
        <w:pStyle w:val="10"/>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二-7参加采购活动前三年内在经营活动中没有重大违法记录书面声明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二-8信用记录查询提示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二-9中小企业声明函</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万元1，属于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二-10联合体协议（若有）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成员1的全称</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二-11分包意向协议（若有）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15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1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二-12其他资格证明文件（若有）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二-12-①具备履行合同所必需设备和专业技术能力专项证明材料（若有）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现附上我方具备履行合同所必需的设备和专业技术能力的专项证明材料复印件（具体附后），上述证明材料真实有效，否则我方负全部责任。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1、招标文件要求投标人提供“具备履行合同所必需的设备和专业技术能力专项证明材料”的，投标人应按照招标文件规定在此项下提供相应证明材料复印件。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2、投标人提供的相应证明材料复印件均应符合：内容完整、清晰、整洁，并由投标人加盖其单位公章。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二-12-②招标文件规定的其他资格证明文件（若有）</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2"/>
        <w:rPr>
          <w:rFonts w:hint="eastAsia" w:ascii="宋体" w:hAnsi="宋体" w:eastAsia="宋体" w:cs="宋体"/>
          <w:b/>
          <w:color w:val="auto"/>
          <w:sz w:val="28"/>
          <w:szCs w:val="28"/>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封面格式(报价部分)</w:t>
      </w:r>
    </w:p>
    <w:p>
      <w:pPr>
        <w:pStyle w:val="10"/>
        <w:jc w:val="center"/>
        <w:outlineLvl w:val="0"/>
        <w:rPr>
          <w:rFonts w:hint="eastAsia" w:ascii="宋体" w:hAnsi="宋体" w:eastAsia="宋体" w:cs="宋体"/>
          <w:color w:val="auto"/>
          <w:sz w:val="28"/>
          <w:szCs w:val="28"/>
        </w:rPr>
      </w:pPr>
      <w:r>
        <w:rPr>
          <w:rFonts w:hint="eastAsia" w:ascii="宋体" w:hAnsi="宋体" w:eastAsia="宋体" w:cs="宋体"/>
          <w:b/>
          <w:color w:val="auto"/>
          <w:sz w:val="28"/>
          <w:szCs w:val="28"/>
        </w:rPr>
        <w:t>福建省政府采购投标文件</w:t>
      </w:r>
    </w:p>
    <w:p>
      <w:pPr>
        <w:pStyle w:val="10"/>
        <w:jc w:val="center"/>
        <w:outlineLvl w:val="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（报价部分）</w:t>
      </w:r>
    </w:p>
    <w:p>
      <w:pPr>
        <w:pStyle w:val="10"/>
        <w:jc w:val="center"/>
        <w:outlineLvl w:val="0"/>
        <w:rPr>
          <w:rFonts w:hint="eastAsia" w:ascii="宋体" w:hAnsi="宋体" w:eastAsia="宋体" w:cs="宋体"/>
          <w:b/>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（填写正本或副本）</w:t>
      </w:r>
    </w:p>
    <w:p>
      <w:pPr>
        <w:pStyle w:val="10"/>
        <w:jc w:val="center"/>
        <w:outlineLvl w:val="1"/>
        <w:rPr>
          <w:rFonts w:hint="eastAsia" w:ascii="宋体" w:hAnsi="宋体" w:eastAsia="宋体" w:cs="宋体"/>
          <w:b/>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both"/>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（项目名称：（由投标人填写）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（备案编号：（由投标人填写）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（项目编号：（由投标人填写）</w:t>
      </w:r>
    </w:p>
    <w:p>
      <w:pPr>
        <w:pStyle w:val="10"/>
        <w:jc w:val="center"/>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（所投采购包：（由投标人填写）</w:t>
      </w:r>
    </w:p>
    <w:p>
      <w:pPr>
        <w:pStyle w:val="10"/>
        <w:jc w:val="center"/>
        <w:outlineLvl w:val="2"/>
        <w:rPr>
          <w:rFonts w:hint="eastAsia" w:ascii="宋体" w:hAnsi="宋体" w:eastAsia="宋体" w:cs="宋体"/>
          <w:b/>
          <w:color w:val="auto"/>
          <w:sz w:val="28"/>
          <w:szCs w:val="28"/>
          <w:lang w:eastAsia="zh-CN"/>
        </w:rPr>
      </w:pPr>
    </w:p>
    <w:p>
      <w:pPr>
        <w:pStyle w:val="10"/>
        <w:jc w:val="center"/>
        <w:outlineLvl w:val="2"/>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投标人：（填写“全称”）</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（由投标人填写）年（由投标人填写）月</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一、开标一览表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二、投标分项报价表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四、招标文件规定的加分证明材料（若有）</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一、开标一览表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2076" w:type="dxa"/>
          </w:tcPr>
          <w:p>
            <w:pPr>
              <w:rPr>
                <w:rFonts w:hint="eastAsia" w:ascii="宋体" w:hAnsi="宋体" w:eastAsia="宋体" w:cs="宋体"/>
                <w:color w:val="auto"/>
                <w:sz w:val="24"/>
                <w:szCs w:val="24"/>
              </w:rPr>
            </w:pPr>
          </w:p>
        </w:tc>
        <w:tc>
          <w:tcPr>
            <w:tcW w:w="2076"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a.&gt;投标报价的明细：详见《投标分项报价表》。</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76"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投标总价（大写金额）：</w:t>
            </w:r>
            <w:r>
              <w:rPr>
                <w:rFonts w:hint="eastAsia" w:ascii="宋体" w:hAnsi="宋体" w:eastAsia="宋体" w:cs="宋体"/>
                <w:color w:val="auto"/>
                <w:sz w:val="24"/>
                <w:szCs w:val="24"/>
                <w:u w:val="single"/>
              </w:rPr>
              <w:t>　　　　　　　　</w:t>
            </w:r>
          </w:p>
        </w:tc>
        <w:tc>
          <w:tcPr>
            <w:tcW w:w="2076" w:type="dxa"/>
          </w:tcPr>
          <w:p>
            <w:pPr>
              <w:rPr>
                <w:rFonts w:hint="eastAsia" w:ascii="宋体" w:hAnsi="宋体" w:eastAsia="宋体" w:cs="宋体"/>
                <w:color w:val="auto"/>
                <w:sz w:val="24"/>
                <w:szCs w:val="24"/>
              </w:rPr>
            </w:pPr>
          </w:p>
        </w:tc>
        <w:tc>
          <w:tcPr>
            <w:tcW w:w="2076" w:type="dxa"/>
            <w:vMerge w:val="continue"/>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1.1投标人应按照本表格式填写所投的采购包的“投标报价”。</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1.2本表中列示的“采购包”应与《投标分项报价表》中列示的“采购包”保持一致，即：若本表中列示的“采购包”为“1”时，《投标分项报价表》中列示的“采购包”亦应为“1”，以此类推。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1.3“大写金额”指“投标报价”应用“壹、贰、叁、肆、伍、陆、柒、捌、玖、拾、佰、仟、万、亿、元、角、分、零”等进行填写。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二、投标分项报价表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宋体" w:hAnsi="宋体" w:eastAsia="宋体" w:cs="宋体"/>
                <w:color w:val="auto"/>
                <w:sz w:val="24"/>
                <w:szCs w:val="24"/>
              </w:rPr>
            </w:pPr>
          </w:p>
        </w:tc>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c>
          <w:tcPr>
            <w:tcW w:w="923" w:type="dxa"/>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1.4同一采购包中，“单价（现场）”×“数量”=“总价（现场）”，全部品目号“总价（现场）”的合计金额应与《开标一览表》中相应采购包列示的“投标总价”保持一致。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1.5若招标文件要求投标人对“备品备件价格、专用工具价格、技术服务费、安装调试费、检验培训费、运输费、保险费、税收”等进行报价的，请在本表的“备注”项下填写。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三、招标文件规定的价格扣除证明材料（若有）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三-1优先类节能产品、环境标志产品价格扣除证明材料（若有）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三-1-①优先类节能产品、环境标志产品统计表（价格扣除适用，若有）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color w:val="auto"/>
                <w:sz w:val="24"/>
                <w:szCs w:val="24"/>
              </w:rPr>
            </w:pPr>
          </w:p>
        </w:tc>
        <w:tc>
          <w:tcPr>
            <w:tcW w:w="7122" w:type="dxa"/>
            <w:gridSpan w:val="6"/>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color w:val="auto"/>
                <w:sz w:val="24"/>
                <w:szCs w:val="24"/>
              </w:rPr>
            </w:pP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22" w:type="dxa"/>
            <w:gridSpan w:val="6"/>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a.采购包内属于节能、环境标志产品的报价总金额：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b.采购包投标总价（报价总金额）：</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c.“采购包内属于节能、环境标志产品的报价总金额”占“采购包投标总价（报价总金额）”的比例（以%列示）：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1、对节能、环境标志产品计算价格扣除时，只依据电子投标文件“三-1-②优先类节能产品、环境标志产品证明材料（价格扣除适用，若有）”。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三-1-②优先类节能产品、环境标志产品证明材料（价格扣除适用，若有）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三-2小型、微型企业产品等价格扣除证明材料（若有）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三-2-①中小企业声明函（价格扣除适用，若有）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三-2-②小型、微型企业等证明材料（价格扣除适用，若有）</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1、投标人应按照招标文件要求提供相应证明材料，证明材料应与《中小企业声明函》的内容相一致，否则视为《中小企业声明函》内容不真实。</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附：</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三-3招标文件规定的其他价格扣除证明材料（若有）</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四、招标文件规定的加分证明材料（若有）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四-1优先类节能产品、环境标志产品加分证明材料（若有）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四-1-①优先类节能产品、环境标志产品统计表（加分适用，若有）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color w:val="auto"/>
                <w:sz w:val="24"/>
                <w:szCs w:val="24"/>
              </w:rPr>
            </w:pPr>
          </w:p>
        </w:tc>
        <w:tc>
          <w:tcPr>
            <w:tcW w:w="7122" w:type="dxa"/>
            <w:gridSpan w:val="6"/>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单价（现场）</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总价（现场）</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color w:val="auto"/>
                <w:sz w:val="24"/>
                <w:szCs w:val="24"/>
              </w:rPr>
            </w:pPr>
          </w:p>
        </w:tc>
        <w:tc>
          <w:tcPr>
            <w:tcW w:w="1187"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c>
          <w:tcPr>
            <w:tcW w:w="1187" w:type="dxa"/>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1、对节能、环境标志产品计算价格扣除时，只依据电子投标文件“四-1-②优先类节能产品、环境标志产品加分证明材料（加分适用，若有）”。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3.3投标人应按照招标文件要求认真统计、计算，否则评标委员会不予认定。</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3.4若无节能、环境标志产品，不填写本表，否则，视为提供虚假材料。</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四-1-②优先类节能产品、环境标志产品证明材料（加分适用，若有）</w:t>
      </w:r>
    </w:p>
    <w:p>
      <w:pPr>
        <w:pStyle w:val="10"/>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四-2招标文件规定的其他加分证明材料（若有）</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若投标人可享受招标文件规定的除“优先类节能产品、环境标志产品加分”外的其他加分优惠，则投标人应按照招标文件要求提供相应证明材料。</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封面格式(技术商务部分)</w:t>
      </w:r>
    </w:p>
    <w:p>
      <w:pPr>
        <w:pStyle w:val="10"/>
        <w:jc w:val="center"/>
        <w:outlineLvl w:val="0"/>
        <w:rPr>
          <w:rFonts w:hint="eastAsia" w:ascii="宋体" w:hAnsi="宋体" w:eastAsia="宋体" w:cs="宋体"/>
          <w:color w:val="auto"/>
          <w:sz w:val="28"/>
          <w:szCs w:val="28"/>
        </w:rPr>
      </w:pPr>
      <w:r>
        <w:rPr>
          <w:rFonts w:hint="eastAsia" w:ascii="宋体" w:hAnsi="宋体" w:eastAsia="宋体" w:cs="宋体"/>
          <w:b/>
          <w:color w:val="auto"/>
          <w:sz w:val="28"/>
          <w:szCs w:val="28"/>
        </w:rPr>
        <w:t>福建省政府采购投标文件</w:t>
      </w:r>
    </w:p>
    <w:p>
      <w:pPr>
        <w:pStyle w:val="10"/>
        <w:jc w:val="center"/>
        <w:outlineLvl w:val="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（技术商务部分）</w:t>
      </w:r>
    </w:p>
    <w:p>
      <w:pPr>
        <w:pStyle w:val="10"/>
        <w:jc w:val="center"/>
        <w:outlineLvl w:val="0"/>
        <w:rPr>
          <w:rFonts w:hint="eastAsia" w:ascii="宋体" w:hAnsi="宋体" w:eastAsia="宋体" w:cs="宋体"/>
          <w:b/>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0"/>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（填写正本或副本）</w:t>
      </w:r>
    </w:p>
    <w:p>
      <w:pPr>
        <w:pStyle w:val="10"/>
        <w:jc w:val="center"/>
        <w:outlineLvl w:val="1"/>
        <w:rPr>
          <w:rFonts w:hint="eastAsia" w:ascii="宋体" w:hAnsi="宋体" w:eastAsia="宋体" w:cs="宋体"/>
          <w:b/>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1"/>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（项目名称：（由投标人填写）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（备案编号：（由投标人填写）</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（项目编号：（由投标人填写）</w:t>
      </w:r>
    </w:p>
    <w:p>
      <w:pPr>
        <w:pStyle w:val="10"/>
        <w:jc w:val="center"/>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（所投采购包：（由投标人填写）</w:t>
      </w:r>
    </w:p>
    <w:p>
      <w:pPr>
        <w:pStyle w:val="10"/>
        <w:jc w:val="center"/>
        <w:outlineLvl w:val="2"/>
        <w:rPr>
          <w:rFonts w:hint="eastAsia" w:ascii="宋体" w:hAnsi="宋体" w:eastAsia="宋体" w:cs="宋体"/>
          <w:b/>
          <w:color w:val="auto"/>
          <w:sz w:val="28"/>
          <w:szCs w:val="28"/>
          <w:lang w:eastAsia="zh-CN"/>
        </w:rPr>
      </w:pPr>
    </w:p>
    <w:p>
      <w:pPr>
        <w:pStyle w:val="10"/>
        <w:jc w:val="center"/>
        <w:outlineLvl w:val="2"/>
        <w:rPr>
          <w:rFonts w:hint="eastAsia" w:ascii="宋体" w:hAnsi="宋体" w:eastAsia="宋体" w:cs="宋体"/>
          <w:color w:val="auto"/>
          <w:sz w:val="28"/>
          <w:szCs w:val="28"/>
          <w:lang w:eastAsia="zh-CN"/>
        </w:rPr>
      </w:pP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投标人：（填写“全称”）</w:t>
      </w:r>
    </w:p>
    <w:p>
      <w:pPr>
        <w:pStyle w:val="10"/>
        <w:jc w:val="center"/>
        <w:outlineLvl w:val="2"/>
        <w:rPr>
          <w:rFonts w:hint="eastAsia" w:ascii="宋体" w:hAnsi="宋体" w:eastAsia="宋体" w:cs="宋体"/>
          <w:color w:val="auto"/>
          <w:sz w:val="28"/>
          <w:szCs w:val="28"/>
        </w:rPr>
      </w:pPr>
      <w:r>
        <w:rPr>
          <w:rFonts w:hint="eastAsia" w:ascii="宋体" w:hAnsi="宋体" w:eastAsia="宋体" w:cs="宋体"/>
          <w:b/>
          <w:color w:val="auto"/>
          <w:sz w:val="28"/>
          <w:szCs w:val="28"/>
        </w:rPr>
        <w:t>（由投标人填写）年（由投标人填写）月</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b/>
          <w:color w:val="auto"/>
          <w:sz w:val="24"/>
          <w:szCs w:val="24"/>
        </w:rPr>
      </w:pP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rFonts w:hint="eastAsia" w:ascii="宋体" w:hAnsi="宋体" w:eastAsia="宋体" w:cs="宋体"/>
                <w:color w:val="auto"/>
                <w:sz w:val="24"/>
                <w:szCs w:val="24"/>
              </w:rPr>
            </w:pPr>
          </w:p>
        </w:tc>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c>
          <w:tcPr>
            <w:tcW w:w="1384" w:type="dxa"/>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rPr>
            </w:pP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color w:val="auto"/>
                <w:sz w:val="24"/>
                <w:szCs w:val="24"/>
              </w:rPr>
            </w:pPr>
          </w:p>
        </w:tc>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c>
          <w:tcPr>
            <w:tcW w:w="1661" w:type="dxa"/>
          </w:tcPr>
          <w:p>
            <w:pPr>
              <w:rPr>
                <w:rFonts w:hint="eastAsia" w:ascii="宋体" w:hAnsi="宋体" w:eastAsia="宋体" w:cs="宋体"/>
                <w:color w:val="auto"/>
                <w:sz w:val="24"/>
                <w:szCs w:val="24"/>
              </w:rPr>
            </w:pPr>
          </w:p>
        </w:tc>
      </w:tr>
    </w:tbl>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10"/>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10"/>
        <w:jc w:val="both"/>
        <w:rPr>
          <w:rFonts w:hint="eastAsia" w:ascii="宋体" w:hAnsi="宋体" w:eastAsia="宋体" w:cs="宋体"/>
          <w:color w:val="auto"/>
          <w:sz w:val="24"/>
          <w:szCs w:val="24"/>
        </w:rPr>
      </w:pPr>
    </w:p>
    <w:p>
      <w:pPr>
        <w:pStyle w:val="1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0"/>
        <w:jc w:val="center"/>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pPr>
        <w:pStyle w:val="10"/>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pPr>
        <w:pStyle w:val="10"/>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p>
      <w:pPr>
        <w:pStyle w:val="10"/>
        <w:rPr>
          <w:rFonts w:hint="eastAsia" w:ascii="宋体" w:hAnsi="宋体" w:eastAsia="宋体" w:cs="宋体"/>
          <w:color w:val="auto"/>
          <w:sz w:val="24"/>
          <w:szCs w:val="24"/>
          <w:lang w:val="en-US" w:eastAsia="zh-Hans"/>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mVhOTBkYzliZmM1ODFkZmE3Zjc3NGU3OTVlOTQifQ=="/>
  </w:docVars>
  <w:rsids>
    <w:rsidRoot w:val="53B52B8D"/>
    <w:rsid w:val="01A93AC4"/>
    <w:rsid w:val="027D3336"/>
    <w:rsid w:val="05301477"/>
    <w:rsid w:val="067B3A34"/>
    <w:rsid w:val="0B2E269C"/>
    <w:rsid w:val="0C4B7AD9"/>
    <w:rsid w:val="0E3C619F"/>
    <w:rsid w:val="0E7E1F77"/>
    <w:rsid w:val="13426006"/>
    <w:rsid w:val="177F50ED"/>
    <w:rsid w:val="17D47744"/>
    <w:rsid w:val="1BFB475D"/>
    <w:rsid w:val="2127683B"/>
    <w:rsid w:val="223570D3"/>
    <w:rsid w:val="239613D2"/>
    <w:rsid w:val="26466355"/>
    <w:rsid w:val="27491BAE"/>
    <w:rsid w:val="2BEF61A7"/>
    <w:rsid w:val="2D094216"/>
    <w:rsid w:val="36B50B84"/>
    <w:rsid w:val="36E34A39"/>
    <w:rsid w:val="39290F4A"/>
    <w:rsid w:val="3EF06066"/>
    <w:rsid w:val="45905E9A"/>
    <w:rsid w:val="498B7885"/>
    <w:rsid w:val="4C5C5476"/>
    <w:rsid w:val="4F6534AB"/>
    <w:rsid w:val="4FFE6835"/>
    <w:rsid w:val="538B4A04"/>
    <w:rsid w:val="53B52B8D"/>
    <w:rsid w:val="548B0DE6"/>
    <w:rsid w:val="54F46459"/>
    <w:rsid w:val="570E45CB"/>
    <w:rsid w:val="603253BF"/>
    <w:rsid w:val="691C6C0C"/>
    <w:rsid w:val="6A4315BC"/>
    <w:rsid w:val="6A5D1F52"/>
    <w:rsid w:val="6BB05477"/>
    <w:rsid w:val="6D6E7D50"/>
    <w:rsid w:val="6FE92308"/>
    <w:rsid w:val="709D579F"/>
    <w:rsid w:val="70D13B81"/>
    <w:rsid w:val="72D012CA"/>
    <w:rsid w:val="74384DA3"/>
    <w:rsid w:val="77F79321"/>
    <w:rsid w:val="7DF37DD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jc w:val="left"/>
    </w:pPr>
    <w:rPr>
      <w:bCs/>
      <w:spacing w:val="10"/>
      <w:kern w:val="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55211</Words>
  <Characters>58267</Characters>
  <Lines>0</Lines>
  <Paragraphs>0</Paragraphs>
  <TotalTime>0</TotalTime>
  <ScaleCrop>false</ScaleCrop>
  <LinksUpToDate>false</LinksUpToDate>
  <CharactersWithSpaces>59288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2024-01-08T01:49:00Z</cp:lastPrinted>
  <dcterms:modified xsi:type="dcterms:W3CDTF">2024-01-10T03:29:51Z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B764CE4CEB19473CB0081F1849E898F5_12</vt:lpwstr>
  </property>
</Properties>
</file>