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房屋建筑工程工程量清单编制说明</w:t>
      </w:r>
    </w:p>
    <w:p>
      <w:pPr>
        <w:spacing w:line="240" w:lineRule="auto"/>
        <w:jc w:val="left"/>
        <w:rPr>
          <w:rFonts w:hint="eastAsia" w:ascii="仿宋_GB2312" w:hAnsi="宋体" w:eastAsia="仿宋_GB2312"/>
          <w:sz w:val="24"/>
          <w:szCs w:val="24"/>
        </w:rPr>
      </w:pPr>
    </w:p>
    <w:p>
      <w:pPr>
        <w:spacing w:line="240" w:lineRule="auto"/>
        <w:jc w:val="left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工程名称（全称）：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>省立医院院史展览馆改造装修工程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</w:t>
      </w:r>
    </w:p>
    <w:p>
      <w:pPr>
        <w:spacing w:line="240" w:lineRule="auto"/>
        <w:jc w:val="left"/>
        <w:rPr>
          <w:rFonts w:hint="eastAsia" w:ascii="仿宋_GB2312" w:hAnsi="宋体" w:eastAsia="仿宋_GB2312"/>
          <w:sz w:val="24"/>
          <w:szCs w:val="24"/>
          <w:u w:val="single"/>
        </w:rPr>
      </w:pPr>
    </w:p>
    <w:tbl>
      <w:tblPr>
        <w:tblStyle w:val="2"/>
        <w:tblW w:w="0" w:type="auto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>
        <w:trPr>
          <w:trHeight w:val="1240" w:hRule="atLeast"/>
        </w:trPr>
        <w:tc>
          <w:tcPr>
            <w:tcW w:w="9292" w:type="dxa"/>
            <w:noWrap w:val="0"/>
            <w:vAlign w:val="top"/>
          </w:tcPr>
          <w:p>
            <w:pPr>
              <w:tabs>
                <w:tab w:val="left" w:pos="720"/>
              </w:tabs>
              <w:spacing w:line="24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一、工程概况</w:t>
            </w:r>
          </w:p>
          <w:p>
            <w:pPr>
              <w:spacing w:line="240" w:lineRule="auto"/>
              <w:ind w:firstLine="555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1.建设地点：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福州市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firstLine="555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2.工程专业：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单独发包的装饰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874" w:leftChars="261" w:hanging="352" w:hangingChars="147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3.合同工期：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日历天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；工程质量等级：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合格工程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611" w:leftChars="259" w:hanging="93" w:hangingChars="3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4.招标范围：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包括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拆除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、装饰；具体详见招标人提供的施工图纸及工程量清单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；单独发包的专业工程：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无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874" w:leftChars="261" w:hanging="352" w:hangingChars="147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5.工程特征：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968"/>
              </w:tabs>
              <w:spacing w:line="240" w:lineRule="auto"/>
              <w:ind w:left="72" w:firstLine="476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建筑面积：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/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。 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968"/>
              </w:tabs>
              <w:spacing w:line="240" w:lineRule="auto"/>
              <w:ind w:left="0" w:firstLine="54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sz w:val="24"/>
                <w:szCs w:val="24"/>
              </w:rPr>
              <w:t>层数：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/层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pacing w:val="-2"/>
                <w:sz w:val="24"/>
                <w:szCs w:val="24"/>
              </w:rPr>
              <w:t>檐口高度：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left" w:pos="885"/>
                <w:tab w:val="clear" w:pos="968"/>
              </w:tabs>
              <w:spacing w:line="24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sz w:val="24"/>
                <w:szCs w:val="24"/>
              </w:rPr>
              <w:t>结构质式：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left" w:pos="885"/>
                <w:tab w:val="clear" w:pos="968"/>
              </w:tabs>
              <w:spacing w:line="240" w:lineRule="auto"/>
              <w:ind w:left="0" w:firstLine="548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sz w:val="24"/>
                <w:szCs w:val="24"/>
              </w:rPr>
              <w:t>基础类型：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left" w:pos="885"/>
                <w:tab w:val="clear" w:pos="968"/>
              </w:tabs>
              <w:spacing w:line="24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装饰情况：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装饰板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墙面、天棚吊顶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修复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left" w:pos="885"/>
                <w:tab w:val="clear" w:pos="968"/>
              </w:tabs>
              <w:spacing w:line="24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混凝土情况：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现场搅拌混凝土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tabs>
                <w:tab w:val="left" w:pos="720"/>
              </w:tabs>
              <w:spacing w:line="24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二、编制范围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按照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设计的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>省立医院院史展览馆改造装修工程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图纸，专业范围包括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</w:rPr>
              <w:t>装饰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，具体如下：</w:t>
            </w:r>
          </w:p>
          <w:p>
            <w:pPr>
              <w:spacing w:line="240" w:lineRule="auto"/>
              <w:ind w:firstLine="600" w:firstLineChars="2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不含三通一平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</w:t>
            </w:r>
          </w:p>
          <w:p>
            <w:pPr>
              <w:spacing w:line="240" w:lineRule="auto"/>
              <w:ind w:firstLine="600" w:firstLineChars="2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土建工程：砌筑工程、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</w:rPr>
              <w:t>装饰工程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等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firstLine="600" w:firstLineChars="2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lang w:val="en-US" w:eastAsia="zh-CN"/>
              </w:rPr>
              <w:t>安装工程：电气工程、给排水工程等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firstLine="600" w:firstLineChars="2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spacing w:line="24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三、编制依据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1.图纸：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highlight w:val="yellow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>省立医院院史展览馆改造装修工程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图纸及有关设计文件。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2.招标文件：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/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编制的招标文件。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其中，招标文件中存在与现行计价规定不一致的内容：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3.地质勘察报告：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4.计价计量规范：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《建设工程工程量清单计价规范》（GB50500-2013）、《房屋建筑与装饰工程工程量计算规范》（GB50854-2013）福建省实施细则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5.预算定额：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《福建省房屋建筑与装饰工程预算定额》（FJYD-101-2017）、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lang w:eastAsia="zh-CN"/>
              </w:rPr>
              <w:t>《通用安装工程工程量计算规范》（GB50856-2013）福建省实施细则及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现行补充或调整文件（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</w:rPr>
              <w:t>截止至2022年1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6.费用定额：《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福建省建筑安装工程费用定额》（2017版）及现行补充调整文件（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</w:rPr>
              <w:t>截止至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</w:rPr>
              <w:t>2022年1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  <w:u w:val="single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。其中，暂列金额：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；专业工程暂估价：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；甲供材料费：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四、</w:t>
            </w:r>
            <w:bookmarkStart w:id="0" w:name="_Toc98212475"/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主要材料设备品牌明细表</w:t>
            </w:r>
          </w:p>
          <w:bookmarkEnd w:id="0"/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主要材料设备品牌明细表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7"/>
              <w:gridCol w:w="1457"/>
              <w:gridCol w:w="1072"/>
              <w:gridCol w:w="1062"/>
              <w:gridCol w:w="3152"/>
              <w:gridCol w:w="1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1" w:hRule="atLeast"/>
              </w:trPr>
              <w:tc>
                <w:tcPr>
                  <w:tcW w:w="676" w:type="dxa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501" w:type="dxa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材料设备名称</w:t>
                  </w:r>
                </w:p>
              </w:tc>
              <w:tc>
                <w:tcPr>
                  <w:tcW w:w="1089" w:type="dxa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规格、型号、技术参数</w:t>
                  </w:r>
                </w:p>
              </w:tc>
              <w:tc>
                <w:tcPr>
                  <w:tcW w:w="1089" w:type="dxa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质量等级</w:t>
                  </w:r>
                </w:p>
              </w:tc>
              <w:tc>
                <w:tcPr>
                  <w:tcW w:w="3272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品牌</w:t>
                  </w:r>
                </w:p>
              </w:tc>
              <w:tc>
                <w:tcPr>
                  <w:tcW w:w="1089" w:type="dxa"/>
                  <w:vMerge w:val="restar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备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7" w:hRule="atLeast"/>
              </w:trPr>
              <w:tc>
                <w:tcPr>
                  <w:tcW w:w="676" w:type="dxa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01" w:type="dxa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72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Merge w:val="continue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676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3272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676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72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</w:trPr>
              <w:tc>
                <w:tcPr>
                  <w:tcW w:w="676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01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89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3272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主要材料设备品牌的内容应与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文件对工程主要材料设备的要求一致。</w:t>
            </w:r>
          </w:p>
          <w:p>
            <w:pPr>
              <w:spacing w:line="24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五、甲供材料一览表</w:t>
            </w:r>
          </w:p>
          <w:p>
            <w:pPr>
              <w:spacing w:line="240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甲供材料一览表</w:t>
            </w:r>
          </w:p>
          <w:tbl>
            <w:tblPr>
              <w:tblStyle w:val="2"/>
              <w:tblW w:w="4998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8"/>
              <w:gridCol w:w="1488"/>
              <w:gridCol w:w="896"/>
              <w:gridCol w:w="1645"/>
              <w:gridCol w:w="1928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8" w:hRule="atLeast"/>
                <w:jc w:val="center"/>
              </w:trPr>
              <w:tc>
                <w:tcPr>
                  <w:tcW w:w="878" w:type="pct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78" w:type="pct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材料名称</w:t>
                  </w:r>
                </w:p>
              </w:tc>
              <w:tc>
                <w:tcPr>
                  <w:tcW w:w="529" w:type="pct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品牌</w:t>
                  </w:r>
                </w:p>
              </w:tc>
              <w:tc>
                <w:tcPr>
                  <w:tcW w:w="971" w:type="pct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规格、型号</w:t>
                  </w:r>
                </w:p>
              </w:tc>
              <w:tc>
                <w:tcPr>
                  <w:tcW w:w="1138" w:type="pct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含税单价（元）</w:t>
                  </w:r>
                </w:p>
              </w:tc>
              <w:tc>
                <w:tcPr>
                  <w:tcW w:w="604" w:type="pct"/>
                  <w:noWrap w:val="0"/>
                  <w:vAlign w:val="top"/>
                </w:tcPr>
                <w:p>
                  <w:pPr>
                    <w:spacing w:line="240" w:lineRule="auto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  <w:jc w:val="center"/>
              </w:trPr>
              <w:tc>
                <w:tcPr>
                  <w:tcW w:w="878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78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138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604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  <w:jc w:val="center"/>
              </w:trPr>
              <w:tc>
                <w:tcPr>
                  <w:tcW w:w="878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78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971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138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604" w:type="pct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注：甲供材料一览表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的内容应与招标文件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发包人供应材料设备一览表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的要求一致。</w:t>
            </w:r>
          </w:p>
          <w:p>
            <w:pPr>
              <w:spacing w:line="24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六、投标报价注意事项</w:t>
            </w:r>
          </w:p>
          <w:p>
            <w:pPr>
              <w:spacing w:line="240" w:lineRule="auto"/>
              <w:ind w:left="32" w:leftChars="16" w:firstLine="484" w:firstLineChars="20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1.土方工程：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垃圾外运暂按25km，实际不同，按实调整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32" w:leftChars="16" w:firstLine="484" w:firstLineChars="20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2.桩基工程：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32" w:leftChars="16" w:firstLine="484" w:firstLineChars="20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3.混凝土模板及支架：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胶合板模板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32" w:leftChars="16" w:firstLine="484" w:firstLineChars="20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4.脚手架：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32" w:leftChars="16" w:firstLine="484" w:firstLineChars="20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5.施工排水、降水：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32" w:leftChars="16" w:firstLine="484" w:firstLineChars="20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6.垂直运输：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32" w:leftChars="16" w:firstLine="484" w:firstLineChars="20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7.大型机械设备进出场及安拆费：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；大型机械设备基础：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；大型机械设备检测：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32" w:leftChars="16" w:firstLine="484" w:firstLineChars="20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8.基坑支护工程拆除：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32" w:leftChars="16" w:firstLine="484" w:firstLineChars="20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9.材料二次搬运：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考虑电梯搬运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left="32" w:leftChars="16" w:firstLine="484" w:firstLineChars="20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10.需要二次深化设计的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，按招标文件规定据实调整工程量和综合单价，其投标单价不得优惠。</w:t>
            </w:r>
          </w:p>
          <w:p>
            <w:pPr>
              <w:spacing w:line="240" w:lineRule="auto"/>
              <w:ind w:left="32" w:leftChars="16" w:firstLine="484" w:firstLineChars="202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11.其他：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>
            <w:pPr>
              <w:spacing w:line="240" w:lineRule="auto"/>
              <w:ind w:firstLine="482" w:firstLineChars="2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七、本项目补充的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工程量清单</w:t>
            </w:r>
          </w:p>
          <w:tbl>
            <w:tblPr>
              <w:tblStyle w:val="2"/>
              <w:tblW w:w="0" w:type="auto"/>
              <w:tblInd w:w="17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9"/>
              <w:gridCol w:w="1079"/>
              <w:gridCol w:w="1098"/>
              <w:gridCol w:w="1640"/>
              <w:gridCol w:w="1070"/>
              <w:gridCol w:w="1364"/>
              <w:gridCol w:w="14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3" w:hRule="atLeast"/>
              </w:trPr>
              <w:tc>
                <w:tcPr>
                  <w:tcW w:w="645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00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项目编码</w:t>
                  </w:r>
                </w:p>
              </w:tc>
              <w:tc>
                <w:tcPr>
                  <w:tcW w:w="1120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680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项目特征</w:t>
                  </w:r>
                </w:p>
              </w:tc>
              <w:tc>
                <w:tcPr>
                  <w:tcW w:w="1091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计量单位</w:t>
                  </w:r>
                </w:p>
              </w:tc>
              <w:tc>
                <w:tcPr>
                  <w:tcW w:w="1395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工程量计算规则</w:t>
                  </w:r>
                </w:p>
              </w:tc>
              <w:tc>
                <w:tcPr>
                  <w:tcW w:w="1444" w:type="dxa"/>
                  <w:noWrap w:val="0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  <w:t>工程内容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</w:trPr>
              <w:tc>
                <w:tcPr>
                  <w:tcW w:w="645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" w:hRule="atLeast"/>
              </w:trPr>
              <w:tc>
                <w:tcPr>
                  <w:tcW w:w="645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" w:hRule="atLeast"/>
              </w:trPr>
              <w:tc>
                <w:tcPr>
                  <w:tcW w:w="645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noWrap w:val="0"/>
                  <w:vAlign w:val="top"/>
                </w:tcPr>
                <w:p>
                  <w:pPr>
                    <w:spacing w:line="240" w:lineRule="auto"/>
                    <w:rPr>
                      <w:rFonts w:hint="eastAsia" w:ascii="仿宋_GB2312" w:hAnsi="仿宋_GB2312" w:eastAsia="仿宋_GB2312" w:cs="仿宋_GB2312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40" w:lineRule="auto"/>
              <w:ind w:firstLine="482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八、其他需要的说明</w:t>
            </w:r>
          </w:p>
          <w:p>
            <w:pPr>
              <w:numPr>
                <w:ilvl w:val="0"/>
                <w:numId w:val="2"/>
              </w:numPr>
              <w:ind w:left="0" w:leftChars="0" w:firstLine="480" w:firstLineChars="200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垃圾外运按25km考虑计入。</w:t>
            </w:r>
          </w:p>
          <w:p>
            <w:pPr>
              <w:numPr>
                <w:ilvl w:val="0"/>
                <w:numId w:val="2"/>
              </w:numPr>
              <w:ind w:left="0" w:leftChars="0" w:firstLine="480" w:firstLineChars="200"/>
              <w:rPr>
                <w:rFonts w:hint="eastAsia"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依据业主回复，吊顶内有走管及桥架，需要额外考虑吊顶拆除及修复，工程量暂按80m2计入，拆除石膏板吊顶饰面换新，面层满刮腻子两道，乳胶漆（一底两面）。</w:t>
            </w:r>
          </w:p>
          <w:p>
            <w:pPr>
              <w:numPr>
                <w:ilvl w:val="0"/>
                <w:numId w:val="2"/>
              </w:numPr>
              <w:ind w:left="0" w:leftChars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防火涂料按2遍考虑计入。</w:t>
            </w:r>
          </w:p>
          <w:p>
            <w:pPr>
              <w:numPr>
                <w:ilvl w:val="0"/>
                <w:numId w:val="2"/>
              </w:numPr>
              <w:ind w:left="0" w:leftChars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镂空浮雕造型，无具体尺寸，暂按2万元一个计入，实际不同按实调整。</w:t>
            </w:r>
          </w:p>
          <w:p>
            <w:pPr>
              <w:numPr>
                <w:ilvl w:val="0"/>
                <w:numId w:val="2"/>
              </w:numPr>
              <w:ind w:left="0" w:leftChars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根据设计回复，电气配线型号按WDZ-BYJ计取。</w:t>
            </w:r>
          </w:p>
          <w:p>
            <w:pPr>
              <w:numPr>
                <w:ilvl w:val="0"/>
                <w:numId w:val="2"/>
              </w:numPr>
              <w:ind w:left="0" w:leftChars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灯带引至原有回路配管配线暂按WDZ-BYJ-3*2.5mm2/JDG15，长度20m计取，实际不同时，结算按实际调整。</w:t>
            </w:r>
          </w:p>
          <w:p>
            <w:pPr>
              <w:numPr>
                <w:ilvl w:val="0"/>
                <w:numId w:val="2"/>
              </w:numPr>
              <w:ind w:left="0" w:leftChars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根据设计回复，弱电系统机柜内增加1个24口六类非屏蔽配线架（含模块）、1个金属理线器。</w:t>
            </w:r>
          </w:p>
          <w:p>
            <w:pPr>
              <w:numPr>
                <w:ilvl w:val="0"/>
                <w:numId w:val="2"/>
              </w:numPr>
              <w:ind w:left="0" w:leftChars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根据设计回复，弱电系统每台设备配置1个单口六类非屏蔽信息插座。</w:t>
            </w:r>
          </w:p>
          <w:p>
            <w:pPr>
              <w:numPr>
                <w:ilvl w:val="0"/>
                <w:numId w:val="2"/>
              </w:numPr>
              <w:ind w:left="0" w:leftChars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六类非屏蔽跳线按24条计取。</w:t>
            </w:r>
          </w:p>
          <w:p>
            <w:pPr>
              <w:numPr>
                <w:ilvl w:val="0"/>
                <w:numId w:val="2"/>
              </w:numPr>
              <w:ind w:left="0" w:leftChars="0"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65寸交互智能一体机按8台计入本次清单，配管配线预留到位。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7DEDA"/>
    <w:multiLevelType w:val="singleLevel"/>
    <w:tmpl w:val="DDB7DED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874049B"/>
    <w:multiLevelType w:val="multilevel"/>
    <w:tmpl w:val="3874049B"/>
    <w:lvl w:ilvl="0" w:tentative="0">
      <w:start w:val="1"/>
      <w:numFmt w:val="decimal"/>
      <w:lvlText w:val="%1)"/>
      <w:lvlJc w:val="left"/>
      <w:pPr>
        <w:tabs>
          <w:tab w:val="left" w:pos="968"/>
        </w:tabs>
        <w:ind w:left="96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88"/>
        </w:tabs>
        <w:ind w:left="138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8"/>
        </w:tabs>
        <w:ind w:left="1808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8"/>
        </w:tabs>
        <w:ind w:left="222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8"/>
        </w:tabs>
        <w:ind w:left="264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8"/>
        </w:tabs>
        <w:ind w:left="3068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8"/>
        </w:tabs>
        <w:ind w:left="348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8"/>
        </w:tabs>
        <w:ind w:left="390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8"/>
        </w:tabs>
        <w:ind w:left="43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NGFiY2ZkMWE1MDJiODcyYmFhMDQyNWM2MGE2NTcifQ=="/>
  </w:docVars>
  <w:rsids>
    <w:rsidRoot w:val="28A4293D"/>
    <w:rsid w:val="1188280F"/>
    <w:rsid w:val="26504B9E"/>
    <w:rsid w:val="28A4293D"/>
    <w:rsid w:val="34362EA1"/>
    <w:rsid w:val="38EC4858"/>
    <w:rsid w:val="3DDC458A"/>
    <w:rsid w:val="44C0504A"/>
    <w:rsid w:val="44E52620"/>
    <w:rsid w:val="4BA206E8"/>
    <w:rsid w:val="532F4F57"/>
    <w:rsid w:val="5CAE501B"/>
    <w:rsid w:val="5CB16562"/>
    <w:rsid w:val="6DEA7FA1"/>
    <w:rsid w:val="77D2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1418</Words>
  <Characters>1546</Characters>
  <Lines>0</Lines>
  <Paragraphs>0</Paragraphs>
  <TotalTime>16</TotalTime>
  <ScaleCrop>false</ScaleCrop>
  <LinksUpToDate>false</LinksUpToDate>
  <CharactersWithSpaces>1936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2022-12-05T08:05:00Z</dcterms:created>
  <dc:creator>Administrator</dc:creator>
  <cp:lastModifiedBy>HT-吴明珠</cp:lastModifiedBy>
  <dcterms:modified xsi:type="dcterms:W3CDTF">2023-02-10T08:07:58Z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21CCB460E11D4080B01C5C4614AE594F</vt:lpwstr>
  </property>
</Properties>
</file>